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D8A6" w14:textId="2099CCFB" w:rsidR="00255552" w:rsidRPr="00815A3D" w:rsidRDefault="00255552" w:rsidP="273535DB">
      <w:pPr>
        <w:pStyle w:val="Title"/>
        <w:rPr>
          <w:rFonts w:ascii="Arial" w:hAnsi="Arial"/>
          <w:sz w:val="28"/>
          <w:szCs w:val="28"/>
        </w:rPr>
      </w:pPr>
      <w:r w:rsidRPr="00815A3D">
        <w:rPr>
          <w:rFonts w:ascii="Arial" w:hAnsi="Arial"/>
          <w:sz w:val="28"/>
          <w:szCs w:val="28"/>
        </w:rPr>
        <w:t xml:space="preserve">SOUTHEND ON SEA </w:t>
      </w:r>
      <w:r w:rsidR="3542F1A8" w:rsidRPr="00815A3D">
        <w:rPr>
          <w:rFonts w:ascii="Arial" w:hAnsi="Arial"/>
          <w:sz w:val="28"/>
          <w:szCs w:val="28"/>
        </w:rPr>
        <w:t>CITY</w:t>
      </w:r>
      <w:r w:rsidRPr="00815A3D">
        <w:rPr>
          <w:rFonts w:ascii="Arial" w:hAnsi="Arial"/>
          <w:sz w:val="28"/>
          <w:szCs w:val="28"/>
        </w:rPr>
        <w:t xml:space="preserve"> COUNCIL</w:t>
      </w:r>
      <w:r w:rsidR="00326EA9" w:rsidRPr="00815A3D">
        <w:rPr>
          <w:rFonts w:ascii="Arial" w:hAnsi="Arial"/>
          <w:sz w:val="28"/>
          <w:szCs w:val="28"/>
        </w:rPr>
        <w:t xml:space="preserve"> ROLE PROFILE</w:t>
      </w:r>
    </w:p>
    <w:p w14:paraId="672A6659" w14:textId="77777777" w:rsidR="00255552" w:rsidRDefault="00255552" w:rsidP="00255552">
      <w:pPr>
        <w:jc w:val="center"/>
        <w:rPr>
          <w:b/>
        </w:rPr>
      </w:pPr>
    </w:p>
    <w:p w14:paraId="1128BE5B" w14:textId="2188E521" w:rsidR="00255552" w:rsidRPr="00253D4D" w:rsidRDefault="00255552" w:rsidP="00255552">
      <w:pPr>
        <w:jc w:val="center"/>
        <w:rPr>
          <w:b/>
          <w:iCs/>
        </w:rPr>
      </w:pPr>
      <w:r>
        <w:rPr>
          <w:b/>
        </w:rPr>
        <w:t xml:space="preserve">DEPARTMENT </w:t>
      </w:r>
      <w:r w:rsidR="00744BC5">
        <w:rPr>
          <w:b/>
        </w:rPr>
        <w:t>FOR</w:t>
      </w:r>
      <w:r>
        <w:rPr>
          <w:b/>
        </w:rPr>
        <w:t xml:space="preserve"> </w:t>
      </w:r>
      <w:r w:rsidR="008E2204">
        <w:rPr>
          <w:b/>
          <w:iCs/>
        </w:rPr>
        <w:t>CHILDREN AND PUBLIC HEALTH</w:t>
      </w:r>
    </w:p>
    <w:p w14:paraId="5DAB6C7B" w14:textId="77777777" w:rsidR="006600BF" w:rsidRPr="00E81AB0" w:rsidRDefault="006600BF" w:rsidP="00255552">
      <w:pPr>
        <w:jc w:val="center"/>
        <w:rPr>
          <w:b/>
        </w:rPr>
      </w:pPr>
    </w:p>
    <w:p w14:paraId="66522B58" w14:textId="77777777" w:rsidR="00255552" w:rsidRDefault="00213DA9" w:rsidP="00213DA9">
      <w:pPr>
        <w:ind w:left="-993"/>
      </w:pPr>
      <w:r>
        <w:rPr>
          <w:b/>
        </w:rPr>
        <w:t xml:space="preserve">PART A: </w:t>
      </w:r>
      <w:r w:rsidR="002F0198">
        <w:rPr>
          <w:b/>
        </w:rPr>
        <w:t>JOB DESCRIPTION</w:t>
      </w:r>
    </w:p>
    <w:tbl>
      <w:tblPr>
        <w:tblW w:w="104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8489"/>
      </w:tblGrid>
      <w:tr w:rsidR="00255552" w14:paraId="50B50301" w14:textId="77777777" w:rsidTr="007934DB">
        <w:trPr>
          <w:trHeight w:val="551"/>
        </w:trPr>
        <w:tc>
          <w:tcPr>
            <w:tcW w:w="1950" w:type="dxa"/>
          </w:tcPr>
          <w:p w14:paraId="48B2F33D" w14:textId="77777777" w:rsidR="00255552" w:rsidRDefault="00255552">
            <w:r>
              <w:t>Job Title</w:t>
            </w:r>
            <w:r w:rsidR="00444122">
              <w:t xml:space="preserve"> &amp; Team</w:t>
            </w:r>
          </w:p>
        </w:tc>
        <w:tc>
          <w:tcPr>
            <w:tcW w:w="8489" w:type="dxa"/>
          </w:tcPr>
          <w:p w14:paraId="75826E62" w14:textId="14EA97EA" w:rsidR="00255552" w:rsidRPr="002064D4" w:rsidRDefault="00253D4D">
            <w:pPr>
              <w:rPr>
                <w:i/>
              </w:rPr>
            </w:pPr>
            <w:r>
              <w:rPr>
                <w:i/>
              </w:rPr>
              <w:t>Consultant in Public Health / Consultant in Public Health Medicine</w:t>
            </w:r>
          </w:p>
          <w:p w14:paraId="02EB378F" w14:textId="77777777" w:rsidR="003E1874" w:rsidRPr="002064D4" w:rsidRDefault="003E1874">
            <w:pPr>
              <w:rPr>
                <w:i/>
              </w:rPr>
            </w:pPr>
          </w:p>
        </w:tc>
      </w:tr>
      <w:tr w:rsidR="00255552" w14:paraId="75ABA2FD" w14:textId="77777777" w:rsidTr="007934DB">
        <w:trPr>
          <w:trHeight w:val="541"/>
        </w:trPr>
        <w:tc>
          <w:tcPr>
            <w:tcW w:w="1950" w:type="dxa"/>
          </w:tcPr>
          <w:p w14:paraId="083EB18B" w14:textId="77777777" w:rsidR="00255552" w:rsidRDefault="00255552">
            <w:r>
              <w:t>Reports To</w:t>
            </w:r>
          </w:p>
        </w:tc>
        <w:tc>
          <w:tcPr>
            <w:tcW w:w="8489" w:type="dxa"/>
          </w:tcPr>
          <w:p w14:paraId="3CBECD3A" w14:textId="0FBC5231" w:rsidR="00255552" w:rsidRPr="002064D4" w:rsidRDefault="00253D4D" w:rsidP="008467CF">
            <w:pPr>
              <w:rPr>
                <w:i/>
              </w:rPr>
            </w:pPr>
            <w:r>
              <w:rPr>
                <w:i/>
              </w:rPr>
              <w:t>Director of Public Health</w:t>
            </w:r>
            <w:r w:rsidR="008467CF">
              <w:rPr>
                <w:i/>
              </w:rPr>
              <w:t xml:space="preserve"> </w:t>
            </w:r>
            <w:r w:rsidR="00F87234">
              <w:rPr>
                <w:i/>
              </w:rPr>
              <w:br/>
            </w:r>
            <w:r w:rsidR="000243D7">
              <w:rPr>
                <w:i/>
              </w:rPr>
              <w:t xml:space="preserve">Note: </w:t>
            </w:r>
            <w:r w:rsidR="00F87234" w:rsidRPr="00F87234">
              <w:rPr>
                <w:i/>
              </w:rPr>
              <w:t>jointly accountable to the Executive Director of Children and Public Health, acting as the de facto Deputy Director of Public Health</w:t>
            </w:r>
          </w:p>
        </w:tc>
      </w:tr>
      <w:tr w:rsidR="00A10094" w14:paraId="3B24953D" w14:textId="77777777" w:rsidTr="007934DB">
        <w:trPr>
          <w:trHeight w:val="270"/>
        </w:trPr>
        <w:tc>
          <w:tcPr>
            <w:tcW w:w="1950" w:type="dxa"/>
          </w:tcPr>
          <w:p w14:paraId="6363AAAD" w14:textId="77777777" w:rsidR="00A10094" w:rsidRDefault="00A10094" w:rsidP="008467CF">
            <w:r>
              <w:t>Responsib</w:t>
            </w:r>
            <w:r w:rsidR="008467CF">
              <w:t>le For</w:t>
            </w:r>
          </w:p>
        </w:tc>
        <w:tc>
          <w:tcPr>
            <w:tcW w:w="8489" w:type="dxa"/>
          </w:tcPr>
          <w:p w14:paraId="45ACDC3E" w14:textId="51A8D19F" w:rsidR="00A10094" w:rsidRPr="002064D4" w:rsidRDefault="00253D4D">
            <w:pPr>
              <w:rPr>
                <w:i/>
              </w:rPr>
            </w:pPr>
            <w:r>
              <w:rPr>
                <w:i/>
              </w:rPr>
              <w:t>Health Improvement Practitioner, Health Improvement Practitioner (Advanced), Health Protection Operational Team, FY2 Doctor</w:t>
            </w:r>
            <w:r w:rsidR="008C7260">
              <w:rPr>
                <w:i/>
              </w:rPr>
              <w:t xml:space="preserve"> </w:t>
            </w:r>
            <w:r>
              <w:rPr>
                <w:i/>
              </w:rPr>
              <w:t>Trainees. Approx 5 Staff</w:t>
            </w:r>
          </w:p>
        </w:tc>
      </w:tr>
      <w:tr w:rsidR="00255552" w14:paraId="48F1DFEC" w14:textId="77777777" w:rsidTr="007934DB">
        <w:trPr>
          <w:trHeight w:val="280"/>
        </w:trPr>
        <w:tc>
          <w:tcPr>
            <w:tcW w:w="1950" w:type="dxa"/>
          </w:tcPr>
          <w:p w14:paraId="0CFFFD6B" w14:textId="77777777" w:rsidR="00255552" w:rsidRPr="00C958D5" w:rsidRDefault="003E1874">
            <w:pPr>
              <w:rPr>
                <w:b/>
                <w:bCs/>
              </w:rPr>
            </w:pPr>
            <w:r w:rsidRPr="00C958D5">
              <w:rPr>
                <w:b/>
                <w:bCs/>
              </w:rPr>
              <w:t>L</w:t>
            </w:r>
            <w:r w:rsidR="00255552" w:rsidRPr="00C958D5">
              <w:rPr>
                <w:b/>
                <w:bCs/>
              </w:rPr>
              <w:t>evel</w:t>
            </w:r>
          </w:p>
        </w:tc>
        <w:tc>
          <w:tcPr>
            <w:tcW w:w="8489" w:type="dxa"/>
          </w:tcPr>
          <w:p w14:paraId="760666B9" w14:textId="6A0BE21A" w:rsidR="00255552" w:rsidRPr="00C958D5" w:rsidRDefault="00C958D5">
            <w:pPr>
              <w:rPr>
                <w:b/>
                <w:bCs/>
              </w:rPr>
            </w:pPr>
            <w:r w:rsidRPr="00C958D5">
              <w:rPr>
                <w:b/>
                <w:bCs/>
              </w:rPr>
              <w:t>Level 13</w:t>
            </w:r>
            <w:r w:rsidR="00356E4E">
              <w:rPr>
                <w:b/>
                <w:bCs/>
              </w:rPr>
              <w:t xml:space="preserve"> </w:t>
            </w:r>
            <w:r w:rsidR="00CE188E">
              <w:rPr>
                <w:b/>
                <w:bCs/>
              </w:rPr>
              <w:t>(</w:t>
            </w:r>
            <w:r w:rsidR="00D56558">
              <w:rPr>
                <w:b/>
                <w:bCs/>
              </w:rPr>
              <w:t>£79,807</w:t>
            </w:r>
            <w:r w:rsidR="005776B6">
              <w:rPr>
                <w:b/>
                <w:bCs/>
              </w:rPr>
              <w:t>-89,823</w:t>
            </w:r>
            <w:r w:rsidR="003646B5">
              <w:rPr>
                <w:b/>
                <w:bCs/>
              </w:rPr>
              <w:t xml:space="preserve"> with a </w:t>
            </w:r>
            <w:r w:rsidR="005776B6">
              <w:rPr>
                <w:b/>
                <w:bCs/>
              </w:rPr>
              <w:t xml:space="preserve">Developmental rate </w:t>
            </w:r>
            <w:r w:rsidR="003646B5">
              <w:rPr>
                <w:b/>
                <w:bCs/>
              </w:rPr>
              <w:t>of £71,826)</w:t>
            </w:r>
          </w:p>
          <w:p w14:paraId="6A05A809" w14:textId="77777777" w:rsidR="000C37ED" w:rsidRPr="00C958D5" w:rsidRDefault="000C37ED">
            <w:pPr>
              <w:rPr>
                <w:b/>
                <w:bCs/>
              </w:rPr>
            </w:pPr>
          </w:p>
        </w:tc>
      </w:tr>
      <w:tr w:rsidR="00255552" w14:paraId="48653235" w14:textId="77777777" w:rsidTr="007934DB">
        <w:trPr>
          <w:trHeight w:val="541"/>
        </w:trPr>
        <w:tc>
          <w:tcPr>
            <w:tcW w:w="1950" w:type="dxa"/>
          </w:tcPr>
          <w:p w14:paraId="400CC73A" w14:textId="77777777" w:rsidR="00255552" w:rsidRDefault="00255552">
            <w:r>
              <w:t>Main Purpose of the Job</w:t>
            </w:r>
          </w:p>
        </w:tc>
        <w:tc>
          <w:tcPr>
            <w:tcW w:w="8489" w:type="dxa"/>
          </w:tcPr>
          <w:p w14:paraId="61E556F9" w14:textId="77777777" w:rsidR="000B76AF" w:rsidRDefault="00925C04">
            <w:pPr>
              <w:rPr>
                <w:iCs/>
              </w:rPr>
            </w:pPr>
            <w:r w:rsidRPr="00BB571F">
              <w:rPr>
                <w:iCs/>
              </w:rPr>
              <w:t>To provide strategic leadership in improving health and wellbeing outcomes and reducing health inequalities across Southend-on-Sea, working collaboratively with local partners and the Integrated Care Board (ICB). The post holder will lead on Health Protection, Health Care Public Health, and the commissioning of key public health services (including drug and alcohol, sexual health, and tobacco control). Acting as deputy to the Director of Public Health, they will support statutory duties, advise on health protection matters, and contribute to emergency planning. The role includes driving Population Health Management, developing neighbourhood health planning, influencing system-wide prevention strategies, and providing professional direction to public health teams and trainees.</w:t>
            </w:r>
          </w:p>
          <w:p w14:paraId="4C817675" w14:textId="516169B4" w:rsidR="00D94D46" w:rsidRPr="00D94D46" w:rsidRDefault="00D94D46">
            <w:pPr>
              <w:rPr>
                <w:i/>
              </w:rPr>
            </w:pPr>
            <w:r w:rsidRPr="00667993">
              <w:rPr>
                <w:i/>
              </w:rPr>
              <w:t xml:space="preserve">For further information please see </w:t>
            </w:r>
            <w:r w:rsidRPr="00667993">
              <w:rPr>
                <w:b/>
                <w:bCs/>
                <w:i/>
              </w:rPr>
              <w:t>Appendix</w:t>
            </w:r>
            <w:r w:rsidR="00045731" w:rsidRPr="00667993">
              <w:rPr>
                <w:b/>
                <w:bCs/>
                <w:i/>
              </w:rPr>
              <w:t xml:space="preserve"> 1</w:t>
            </w:r>
          </w:p>
        </w:tc>
      </w:tr>
      <w:tr w:rsidR="00255552" w14:paraId="3645F290" w14:textId="77777777" w:rsidTr="00AB5259">
        <w:trPr>
          <w:trHeight w:val="1491"/>
        </w:trPr>
        <w:tc>
          <w:tcPr>
            <w:tcW w:w="1950" w:type="dxa"/>
          </w:tcPr>
          <w:p w14:paraId="45B691AC" w14:textId="77777777" w:rsidR="006D45E9" w:rsidRDefault="00255552" w:rsidP="006D45E9">
            <w:r>
              <w:t>Key Responsibilities</w:t>
            </w:r>
            <w:r w:rsidR="00E4438C">
              <w:t xml:space="preserve"> </w:t>
            </w:r>
          </w:p>
          <w:p w14:paraId="5A39BBE3" w14:textId="77777777" w:rsidR="006D45E9" w:rsidRDefault="006D45E9" w:rsidP="006D45E9"/>
          <w:p w14:paraId="120B0202" w14:textId="70F81CFF" w:rsidR="00255552" w:rsidRPr="00096E1A" w:rsidRDefault="00255552" w:rsidP="006D45E9">
            <w:pPr>
              <w:rPr>
                <w:i/>
                <w:iCs/>
              </w:rPr>
            </w:pPr>
          </w:p>
        </w:tc>
        <w:tc>
          <w:tcPr>
            <w:tcW w:w="8489" w:type="dxa"/>
          </w:tcPr>
          <w:p w14:paraId="7F0D443C" w14:textId="77777777" w:rsidR="00921118" w:rsidRPr="00921118" w:rsidRDefault="00921118" w:rsidP="00921118">
            <w:pPr>
              <w:rPr>
                <w:rFonts w:cs="Arial"/>
                <w:b/>
                <w:bCs/>
                <w:color w:val="222222"/>
                <w:szCs w:val="24"/>
              </w:rPr>
            </w:pPr>
            <w:r w:rsidRPr="00921118">
              <w:rPr>
                <w:rFonts w:cs="Arial"/>
                <w:b/>
                <w:bCs/>
                <w:color w:val="222222"/>
                <w:szCs w:val="24"/>
              </w:rPr>
              <w:t>Strategic Leadership &amp; Partnership</w:t>
            </w:r>
          </w:p>
          <w:p w14:paraId="3AFFBAFE" w14:textId="77777777" w:rsidR="00921118" w:rsidRPr="00921118" w:rsidRDefault="00921118" w:rsidP="00921118">
            <w:pPr>
              <w:numPr>
                <w:ilvl w:val="0"/>
                <w:numId w:val="25"/>
              </w:numPr>
              <w:rPr>
                <w:rFonts w:cs="Arial"/>
                <w:color w:val="222222"/>
                <w:szCs w:val="24"/>
              </w:rPr>
            </w:pPr>
            <w:r w:rsidRPr="00921118">
              <w:rPr>
                <w:rFonts w:cs="Arial"/>
                <w:color w:val="222222"/>
                <w:szCs w:val="24"/>
              </w:rPr>
              <w:t>Lead the Population Health Management Programme with the Integrated Care Board (ICB) and drive the development of Neighbourhood Health Planning, aligning local priorities with prevention and self-care work streams.</w:t>
            </w:r>
          </w:p>
          <w:p w14:paraId="7FB56C39" w14:textId="77777777" w:rsidR="00921118" w:rsidRPr="00921118" w:rsidRDefault="00921118" w:rsidP="00921118">
            <w:pPr>
              <w:numPr>
                <w:ilvl w:val="0"/>
                <w:numId w:val="25"/>
              </w:numPr>
              <w:rPr>
                <w:rFonts w:cs="Arial"/>
                <w:color w:val="222222"/>
                <w:szCs w:val="24"/>
              </w:rPr>
            </w:pPr>
            <w:r w:rsidRPr="00921118">
              <w:rPr>
                <w:rFonts w:cs="Arial"/>
                <w:color w:val="222222"/>
                <w:szCs w:val="24"/>
              </w:rPr>
              <w:t>Act as Deputy to the Director of Public Health, fulfilling delegated responsibilities in line with national guidance, including statutory advice on Health Protection and emergency planning.</w:t>
            </w:r>
          </w:p>
          <w:p w14:paraId="6E05D19F" w14:textId="77777777" w:rsidR="00921118" w:rsidRPr="00921118" w:rsidRDefault="00921118" w:rsidP="00921118">
            <w:pPr>
              <w:numPr>
                <w:ilvl w:val="0"/>
                <w:numId w:val="25"/>
              </w:numPr>
              <w:rPr>
                <w:rFonts w:cs="Arial"/>
                <w:color w:val="222222"/>
                <w:szCs w:val="24"/>
              </w:rPr>
            </w:pPr>
            <w:r w:rsidRPr="00921118">
              <w:rPr>
                <w:rFonts w:cs="Arial"/>
                <w:color w:val="222222"/>
                <w:szCs w:val="24"/>
              </w:rPr>
              <w:t>Provide strategic leadership to the Health and Wellbeing Board, briefing Cabinet Members and responding to requests from the Health Overview and Scrutiny Committee.</w:t>
            </w:r>
          </w:p>
          <w:p w14:paraId="1CBDE593" w14:textId="301A1B55" w:rsidR="00BC2E59" w:rsidRDefault="00921118" w:rsidP="00BC2E59">
            <w:pPr>
              <w:numPr>
                <w:ilvl w:val="0"/>
                <w:numId w:val="25"/>
              </w:numPr>
              <w:rPr>
                <w:rFonts w:cs="Arial"/>
                <w:color w:val="222222"/>
                <w:szCs w:val="24"/>
              </w:rPr>
            </w:pPr>
            <w:r w:rsidRPr="00921118">
              <w:rPr>
                <w:rFonts w:cs="Arial"/>
                <w:color w:val="222222"/>
                <w:szCs w:val="24"/>
              </w:rPr>
              <w:t>Work across organisational and professional boundaries as a change agent, managing complexity to deliver improvements in health and wellbeing</w:t>
            </w:r>
            <w:r>
              <w:rPr>
                <w:rFonts w:cs="Arial"/>
                <w:color w:val="222222"/>
                <w:szCs w:val="24"/>
              </w:rPr>
              <w:t>.</w:t>
            </w:r>
          </w:p>
          <w:p w14:paraId="79F43A01" w14:textId="3683029E" w:rsidR="00BC2E59" w:rsidRPr="00CF4D48" w:rsidRDefault="001E0F66" w:rsidP="00CF4D48">
            <w:pPr>
              <w:rPr>
                <w:rFonts w:cs="Arial"/>
                <w:color w:val="222222"/>
                <w:szCs w:val="24"/>
              </w:rPr>
            </w:pPr>
            <w:r>
              <w:rPr>
                <w:rFonts w:cs="Arial"/>
                <w:b/>
                <w:bCs/>
                <w:color w:val="222222"/>
                <w:szCs w:val="24"/>
              </w:rPr>
              <w:t>People Management</w:t>
            </w:r>
          </w:p>
          <w:p w14:paraId="78E89923" w14:textId="3C1013D2" w:rsidR="001E0F66" w:rsidRDefault="001E0F66" w:rsidP="00BC2E59">
            <w:pPr>
              <w:numPr>
                <w:ilvl w:val="0"/>
                <w:numId w:val="25"/>
              </w:numPr>
              <w:rPr>
                <w:rFonts w:cs="Arial"/>
                <w:color w:val="222222"/>
                <w:szCs w:val="24"/>
              </w:rPr>
            </w:pPr>
            <w:r>
              <w:rPr>
                <w:rFonts w:cs="Arial"/>
                <w:color w:val="222222"/>
                <w:szCs w:val="24"/>
              </w:rPr>
              <w:t>Provide leadership and line management for allocated Public Health staff, including recruitment, objective setting and performance management</w:t>
            </w:r>
            <w:r w:rsidR="008B283D">
              <w:rPr>
                <w:rFonts w:cs="Arial"/>
                <w:color w:val="222222"/>
                <w:szCs w:val="24"/>
              </w:rPr>
              <w:t>.</w:t>
            </w:r>
          </w:p>
          <w:p w14:paraId="46A36C7D" w14:textId="5EF9246A" w:rsidR="001E0F66" w:rsidRDefault="001E0F66" w:rsidP="00BC2E59">
            <w:pPr>
              <w:numPr>
                <w:ilvl w:val="0"/>
                <w:numId w:val="25"/>
              </w:numPr>
              <w:rPr>
                <w:rFonts w:cs="Arial"/>
                <w:color w:val="222222"/>
                <w:szCs w:val="24"/>
              </w:rPr>
            </w:pPr>
            <w:r>
              <w:rPr>
                <w:rFonts w:cs="Arial"/>
                <w:color w:val="222222"/>
                <w:szCs w:val="24"/>
              </w:rPr>
              <w:t>Foster a positive and inclusive team culture, ensuring staff development through coaching and mentoring</w:t>
            </w:r>
            <w:r w:rsidR="00E55D19">
              <w:rPr>
                <w:rFonts w:cs="Arial"/>
                <w:color w:val="222222"/>
                <w:szCs w:val="24"/>
              </w:rPr>
              <w:t>.</w:t>
            </w:r>
          </w:p>
          <w:p w14:paraId="58AB4048" w14:textId="77777777" w:rsidR="002D4B69" w:rsidRDefault="002D4B69" w:rsidP="002D4B69">
            <w:pPr>
              <w:rPr>
                <w:rFonts w:cs="Arial"/>
                <w:color w:val="222222"/>
                <w:szCs w:val="24"/>
              </w:rPr>
            </w:pPr>
          </w:p>
          <w:p w14:paraId="45D24FB7" w14:textId="77777777" w:rsidR="002D4B69" w:rsidRDefault="002D4B69" w:rsidP="002D4B69">
            <w:pPr>
              <w:rPr>
                <w:rFonts w:cs="Arial"/>
                <w:color w:val="222222"/>
                <w:szCs w:val="24"/>
              </w:rPr>
            </w:pPr>
          </w:p>
          <w:p w14:paraId="7D323232" w14:textId="77777777" w:rsidR="002D4B69" w:rsidRDefault="002D4B69" w:rsidP="002D4B69">
            <w:pPr>
              <w:rPr>
                <w:rFonts w:cs="Arial"/>
                <w:color w:val="222222"/>
                <w:szCs w:val="24"/>
              </w:rPr>
            </w:pPr>
          </w:p>
          <w:p w14:paraId="0A69A500" w14:textId="77777777" w:rsidR="00921118" w:rsidRPr="00921118" w:rsidRDefault="00921118" w:rsidP="00921118">
            <w:pPr>
              <w:rPr>
                <w:rFonts w:cs="Arial"/>
                <w:b/>
                <w:bCs/>
                <w:color w:val="222222"/>
                <w:szCs w:val="24"/>
              </w:rPr>
            </w:pPr>
            <w:r w:rsidRPr="00921118">
              <w:rPr>
                <w:rFonts w:cs="Arial"/>
                <w:b/>
                <w:bCs/>
                <w:color w:val="222222"/>
                <w:szCs w:val="24"/>
              </w:rPr>
              <w:t>Commissioning &amp; Service Development</w:t>
            </w:r>
          </w:p>
          <w:p w14:paraId="11EBA6E0" w14:textId="77777777" w:rsidR="00921118" w:rsidRPr="00921118" w:rsidRDefault="00921118" w:rsidP="00921118">
            <w:pPr>
              <w:numPr>
                <w:ilvl w:val="0"/>
                <w:numId w:val="26"/>
              </w:numPr>
              <w:rPr>
                <w:rFonts w:cs="Arial"/>
                <w:color w:val="222222"/>
                <w:szCs w:val="24"/>
              </w:rPr>
            </w:pPr>
            <w:r w:rsidRPr="00921118">
              <w:rPr>
                <w:rFonts w:cs="Arial"/>
                <w:color w:val="222222"/>
                <w:szCs w:val="24"/>
              </w:rPr>
              <w:t xml:space="preserve">Lead commissioning and delivery of: </w:t>
            </w:r>
          </w:p>
          <w:p w14:paraId="186DA9DB" w14:textId="77777777" w:rsidR="00921118" w:rsidRPr="00921118" w:rsidRDefault="00921118" w:rsidP="00921118">
            <w:pPr>
              <w:numPr>
                <w:ilvl w:val="1"/>
                <w:numId w:val="26"/>
              </w:numPr>
              <w:rPr>
                <w:rFonts w:cs="Arial"/>
                <w:color w:val="222222"/>
                <w:szCs w:val="24"/>
              </w:rPr>
            </w:pPr>
            <w:r w:rsidRPr="00921118">
              <w:rPr>
                <w:rFonts w:cs="Arial"/>
                <w:color w:val="222222"/>
                <w:szCs w:val="24"/>
              </w:rPr>
              <w:t>Drug and Alcohol services, including harm reduction and recovery-focused interventions.</w:t>
            </w:r>
          </w:p>
          <w:p w14:paraId="4219FF2A" w14:textId="77777777" w:rsidR="00921118" w:rsidRPr="00921118" w:rsidRDefault="00921118" w:rsidP="00921118">
            <w:pPr>
              <w:numPr>
                <w:ilvl w:val="1"/>
                <w:numId w:val="26"/>
              </w:numPr>
              <w:rPr>
                <w:rFonts w:cs="Arial"/>
                <w:color w:val="222222"/>
                <w:szCs w:val="24"/>
              </w:rPr>
            </w:pPr>
            <w:r w:rsidRPr="00921118">
              <w:rPr>
                <w:rFonts w:cs="Arial"/>
                <w:color w:val="222222"/>
                <w:szCs w:val="24"/>
              </w:rPr>
              <w:t>Sexual Health services, ensuring access to contraception, STI testing, and treatment.</w:t>
            </w:r>
          </w:p>
          <w:p w14:paraId="7A5EC878" w14:textId="77777777" w:rsidR="00921118" w:rsidRPr="00921118" w:rsidRDefault="00921118" w:rsidP="00921118">
            <w:pPr>
              <w:numPr>
                <w:ilvl w:val="1"/>
                <w:numId w:val="26"/>
              </w:numPr>
              <w:rPr>
                <w:rFonts w:cs="Arial"/>
                <w:color w:val="222222"/>
                <w:szCs w:val="24"/>
              </w:rPr>
            </w:pPr>
            <w:r w:rsidRPr="00921118">
              <w:rPr>
                <w:rFonts w:cs="Arial"/>
                <w:color w:val="222222"/>
                <w:szCs w:val="24"/>
              </w:rPr>
              <w:t>Tobacco Control, including Smoking Cessation programmes.</w:t>
            </w:r>
          </w:p>
          <w:p w14:paraId="213D981C" w14:textId="77777777" w:rsidR="00921118" w:rsidRPr="00921118" w:rsidRDefault="00921118" w:rsidP="00921118">
            <w:pPr>
              <w:numPr>
                <w:ilvl w:val="1"/>
                <w:numId w:val="26"/>
              </w:numPr>
              <w:rPr>
                <w:rFonts w:cs="Arial"/>
                <w:color w:val="222222"/>
                <w:szCs w:val="24"/>
              </w:rPr>
            </w:pPr>
            <w:r w:rsidRPr="00921118">
              <w:rPr>
                <w:rFonts w:cs="Arial"/>
                <w:color w:val="222222"/>
                <w:szCs w:val="24"/>
              </w:rPr>
              <w:t>NHS Health Checks programme, targeting cardiovascular disease prevention and early detection.</w:t>
            </w:r>
          </w:p>
          <w:p w14:paraId="53012F08" w14:textId="77777777" w:rsidR="00921118" w:rsidRPr="00921118" w:rsidRDefault="00921118" w:rsidP="00921118">
            <w:pPr>
              <w:numPr>
                <w:ilvl w:val="0"/>
                <w:numId w:val="26"/>
              </w:numPr>
              <w:rPr>
                <w:rFonts w:cs="Arial"/>
                <w:color w:val="222222"/>
                <w:szCs w:val="24"/>
              </w:rPr>
            </w:pPr>
            <w:r w:rsidRPr="00921118">
              <w:rPr>
                <w:rFonts w:cs="Arial"/>
                <w:color w:val="222222"/>
                <w:szCs w:val="24"/>
              </w:rPr>
              <w:t>Develop and implement local strategies to improve outcomes and reduce inequalities in these areas, ensuring alignment with national frameworks and local needs.</w:t>
            </w:r>
          </w:p>
          <w:p w14:paraId="6F761CF8" w14:textId="4F2F7AC8" w:rsidR="00921118" w:rsidRPr="00921118" w:rsidRDefault="00921118" w:rsidP="00921118">
            <w:pPr>
              <w:numPr>
                <w:ilvl w:val="0"/>
                <w:numId w:val="26"/>
              </w:numPr>
              <w:rPr>
                <w:rFonts w:cs="Arial"/>
                <w:color w:val="222222"/>
                <w:szCs w:val="24"/>
              </w:rPr>
            </w:pPr>
            <w:r w:rsidRPr="00921118">
              <w:rPr>
                <w:rFonts w:cs="Arial"/>
                <w:color w:val="222222"/>
                <w:szCs w:val="24"/>
              </w:rPr>
              <w:t>Provide expert public health support and whole-system leadership to ensure evidence-based commissioning and development of high-quality, equitable services, including evaluation and KPIs</w:t>
            </w:r>
            <w:r w:rsidR="00BF2DE8" w:rsidRPr="00BF2DE8">
              <w:rPr>
                <w:rFonts w:cs="Arial"/>
                <w:color w:val="222222"/>
                <w:szCs w:val="24"/>
              </w:rPr>
              <w:t>.</w:t>
            </w:r>
          </w:p>
          <w:p w14:paraId="214258D9" w14:textId="77777777" w:rsidR="00921118" w:rsidRPr="00921118" w:rsidRDefault="00921118" w:rsidP="00921118">
            <w:pPr>
              <w:rPr>
                <w:rFonts w:cs="Arial"/>
                <w:b/>
                <w:bCs/>
                <w:color w:val="222222"/>
                <w:szCs w:val="24"/>
              </w:rPr>
            </w:pPr>
            <w:r w:rsidRPr="00921118">
              <w:rPr>
                <w:rFonts w:cs="Arial"/>
                <w:b/>
                <w:bCs/>
                <w:color w:val="222222"/>
                <w:szCs w:val="24"/>
              </w:rPr>
              <w:t>Health Protection &amp; Resilience</w:t>
            </w:r>
          </w:p>
          <w:p w14:paraId="09572EF6" w14:textId="77777777" w:rsidR="00921118" w:rsidRPr="00921118" w:rsidRDefault="00921118" w:rsidP="00921118">
            <w:pPr>
              <w:numPr>
                <w:ilvl w:val="0"/>
                <w:numId w:val="27"/>
              </w:numPr>
              <w:rPr>
                <w:rFonts w:cs="Arial"/>
                <w:color w:val="222222"/>
                <w:szCs w:val="24"/>
              </w:rPr>
            </w:pPr>
            <w:r w:rsidRPr="00921118">
              <w:rPr>
                <w:rFonts w:cs="Arial"/>
                <w:color w:val="222222"/>
                <w:szCs w:val="24"/>
              </w:rPr>
              <w:t>Lead local resilience planning for Health Protection in collaboration with the Council’s Emergency Planning team and the Essex Resilience Forum.</w:t>
            </w:r>
          </w:p>
          <w:p w14:paraId="70B15AB2" w14:textId="77777777" w:rsidR="00921118" w:rsidRPr="00921118" w:rsidRDefault="00921118" w:rsidP="00921118">
            <w:pPr>
              <w:numPr>
                <w:ilvl w:val="0"/>
                <w:numId w:val="27"/>
              </w:numPr>
              <w:rPr>
                <w:rFonts w:cs="Arial"/>
                <w:color w:val="222222"/>
                <w:szCs w:val="24"/>
              </w:rPr>
            </w:pPr>
            <w:r w:rsidRPr="00921118">
              <w:rPr>
                <w:rFonts w:cs="Arial"/>
                <w:color w:val="222222"/>
                <w:szCs w:val="24"/>
              </w:rPr>
              <w:t>Provide expert advice on infection prevention and control (IPC) and lead responses to outbreaks and incidents in collaboration with the UK Health Security Agency (UKHSA).</w:t>
            </w:r>
          </w:p>
          <w:p w14:paraId="5EF15BDE" w14:textId="77777777" w:rsidR="00921118" w:rsidRPr="00921118" w:rsidRDefault="00921118" w:rsidP="00921118">
            <w:pPr>
              <w:numPr>
                <w:ilvl w:val="0"/>
                <w:numId w:val="27"/>
              </w:numPr>
              <w:rPr>
                <w:rFonts w:cs="Arial"/>
                <w:color w:val="222222"/>
                <w:szCs w:val="24"/>
              </w:rPr>
            </w:pPr>
            <w:r w:rsidRPr="00921118">
              <w:rPr>
                <w:rFonts w:cs="Arial"/>
                <w:color w:val="222222"/>
                <w:szCs w:val="24"/>
              </w:rPr>
              <w:t>Ensure robust emergency preparedness plans are in place for communicable disease control and environmental hazards.</w:t>
            </w:r>
          </w:p>
          <w:p w14:paraId="6C5E4191" w14:textId="77777777" w:rsidR="00921118" w:rsidRPr="00921118" w:rsidRDefault="00921118" w:rsidP="00921118">
            <w:pPr>
              <w:rPr>
                <w:rFonts w:cs="Arial"/>
                <w:b/>
                <w:bCs/>
                <w:color w:val="222222"/>
                <w:szCs w:val="24"/>
              </w:rPr>
            </w:pPr>
            <w:r w:rsidRPr="00921118">
              <w:rPr>
                <w:rFonts w:cs="Arial"/>
                <w:b/>
                <w:bCs/>
                <w:color w:val="222222"/>
                <w:szCs w:val="24"/>
              </w:rPr>
              <w:t>Public Health Intelligence &amp; Research</w:t>
            </w:r>
          </w:p>
          <w:p w14:paraId="7706436B" w14:textId="77777777" w:rsidR="00921118" w:rsidRPr="00921118" w:rsidRDefault="00921118" w:rsidP="00921118">
            <w:pPr>
              <w:numPr>
                <w:ilvl w:val="0"/>
                <w:numId w:val="28"/>
              </w:numPr>
              <w:rPr>
                <w:rFonts w:cs="Arial"/>
                <w:color w:val="222222"/>
                <w:szCs w:val="24"/>
              </w:rPr>
            </w:pPr>
            <w:r w:rsidRPr="00921118">
              <w:rPr>
                <w:rFonts w:cs="Arial"/>
                <w:color w:val="222222"/>
                <w:szCs w:val="24"/>
              </w:rPr>
              <w:t xml:space="preserve">Oversee the Public Health Intelligence function, including: </w:t>
            </w:r>
          </w:p>
          <w:p w14:paraId="465567DE" w14:textId="77777777" w:rsidR="00921118" w:rsidRPr="00921118" w:rsidRDefault="00921118" w:rsidP="00921118">
            <w:pPr>
              <w:numPr>
                <w:ilvl w:val="1"/>
                <w:numId w:val="28"/>
              </w:numPr>
              <w:rPr>
                <w:rFonts w:cs="Arial"/>
                <w:color w:val="222222"/>
                <w:szCs w:val="24"/>
              </w:rPr>
            </w:pPr>
            <w:r w:rsidRPr="00921118">
              <w:rPr>
                <w:rFonts w:cs="Arial"/>
                <w:color w:val="222222"/>
                <w:szCs w:val="24"/>
              </w:rPr>
              <w:t>Production of Joint Strategic Needs Assessments (JSNAs) and Pharmaceutical Needs Assessments.</w:t>
            </w:r>
          </w:p>
          <w:p w14:paraId="557E7D33" w14:textId="77777777" w:rsidR="00921118" w:rsidRPr="00921118" w:rsidRDefault="00921118" w:rsidP="00921118">
            <w:pPr>
              <w:numPr>
                <w:ilvl w:val="1"/>
                <w:numId w:val="28"/>
              </w:numPr>
              <w:rPr>
                <w:rFonts w:cs="Arial"/>
                <w:color w:val="222222"/>
                <w:szCs w:val="24"/>
              </w:rPr>
            </w:pPr>
            <w:r w:rsidRPr="00921118">
              <w:rPr>
                <w:rFonts w:cs="Arial"/>
                <w:color w:val="222222"/>
                <w:szCs w:val="24"/>
              </w:rPr>
              <w:t>Local health profiles and the Health and Wellbeing Strategy.</w:t>
            </w:r>
          </w:p>
          <w:p w14:paraId="7095E74A" w14:textId="0735F9C1" w:rsidR="00921118" w:rsidRPr="00921118" w:rsidRDefault="00921118" w:rsidP="00921118">
            <w:pPr>
              <w:numPr>
                <w:ilvl w:val="0"/>
                <w:numId w:val="28"/>
              </w:numPr>
              <w:rPr>
                <w:rFonts w:cs="Arial"/>
                <w:color w:val="222222"/>
                <w:szCs w:val="24"/>
              </w:rPr>
            </w:pPr>
            <w:r w:rsidRPr="00921118">
              <w:rPr>
                <w:rFonts w:cs="Arial"/>
                <w:color w:val="222222"/>
                <w:szCs w:val="24"/>
              </w:rPr>
              <w:t>Utilise and develop intelligence systems to underpin public health action, integrating public health, NHS, and social care outcome frameworks.</w:t>
            </w:r>
          </w:p>
          <w:p w14:paraId="41D6F2F3" w14:textId="428F04EF" w:rsidR="00921118" w:rsidRPr="00921118" w:rsidRDefault="00921118" w:rsidP="00921118">
            <w:pPr>
              <w:numPr>
                <w:ilvl w:val="0"/>
                <w:numId w:val="28"/>
              </w:numPr>
              <w:rPr>
                <w:rFonts w:cs="Arial"/>
                <w:color w:val="222222"/>
                <w:szCs w:val="24"/>
              </w:rPr>
            </w:pPr>
            <w:r w:rsidRPr="00921118">
              <w:rPr>
                <w:rFonts w:cs="Arial"/>
                <w:color w:val="222222"/>
                <w:szCs w:val="24"/>
              </w:rPr>
              <w:t>Provide the key local authority link to the research community, influencing programmes and participating in the Greater Essex Health Determinants Research Collaboration (HDRC)</w:t>
            </w:r>
          </w:p>
          <w:p w14:paraId="6E3331DC" w14:textId="77777777" w:rsidR="00921118" w:rsidRPr="00921118" w:rsidRDefault="00921118" w:rsidP="00921118">
            <w:pPr>
              <w:rPr>
                <w:rFonts w:cs="Arial"/>
                <w:b/>
                <w:bCs/>
                <w:color w:val="222222"/>
                <w:szCs w:val="24"/>
              </w:rPr>
            </w:pPr>
            <w:r w:rsidRPr="00921118">
              <w:rPr>
                <w:rFonts w:cs="Arial"/>
                <w:b/>
                <w:bCs/>
                <w:color w:val="222222"/>
                <w:szCs w:val="24"/>
              </w:rPr>
              <w:t>Policy, Strategy &amp; Advocacy</w:t>
            </w:r>
          </w:p>
          <w:p w14:paraId="3D0CC01B" w14:textId="0F36C9EE" w:rsidR="00921118" w:rsidRPr="00921118" w:rsidRDefault="00921118" w:rsidP="00921118">
            <w:pPr>
              <w:numPr>
                <w:ilvl w:val="0"/>
                <w:numId w:val="29"/>
              </w:numPr>
              <w:rPr>
                <w:rFonts w:cs="Arial"/>
                <w:color w:val="222222"/>
                <w:szCs w:val="24"/>
              </w:rPr>
            </w:pPr>
            <w:r w:rsidRPr="00921118">
              <w:rPr>
                <w:rFonts w:cs="Arial"/>
                <w:color w:val="222222"/>
                <w:szCs w:val="24"/>
              </w:rPr>
              <w:t>Take responsibility for policy development, implementation, and delivery, including leading detailed inter-agency strategic plans and contributing to procurement processes.</w:t>
            </w:r>
          </w:p>
          <w:p w14:paraId="2D3296F7" w14:textId="4704B579" w:rsidR="00921118" w:rsidRPr="00921118" w:rsidRDefault="00921118" w:rsidP="00921118">
            <w:pPr>
              <w:numPr>
                <w:ilvl w:val="0"/>
                <w:numId w:val="29"/>
              </w:numPr>
              <w:rPr>
                <w:rFonts w:cs="Arial"/>
                <w:color w:val="222222"/>
                <w:szCs w:val="24"/>
              </w:rPr>
            </w:pPr>
            <w:r w:rsidRPr="00921118">
              <w:rPr>
                <w:rFonts w:cs="Arial"/>
                <w:color w:val="222222"/>
                <w:szCs w:val="24"/>
              </w:rPr>
              <w:t>Communicate complex public health data and concepts effectively through written and verbal briefings to councillors, partners, and stakeholders, sometimes at short notice.</w:t>
            </w:r>
          </w:p>
          <w:p w14:paraId="08D63C54" w14:textId="753A4D56" w:rsidR="00921118" w:rsidRPr="00921118" w:rsidRDefault="00921118" w:rsidP="00921118">
            <w:pPr>
              <w:numPr>
                <w:ilvl w:val="0"/>
                <w:numId w:val="29"/>
              </w:numPr>
              <w:rPr>
                <w:rFonts w:cs="Arial"/>
                <w:color w:val="222222"/>
                <w:szCs w:val="24"/>
              </w:rPr>
            </w:pPr>
            <w:r w:rsidRPr="00921118">
              <w:rPr>
                <w:rFonts w:cs="Arial"/>
                <w:color w:val="222222"/>
                <w:szCs w:val="24"/>
              </w:rPr>
              <w:t>Support the DPH in developing robust strategies for improving health and wellbeing, ensuring measurable outcomes and judicious use of the ring-fenced public health grant.</w:t>
            </w:r>
          </w:p>
          <w:p w14:paraId="1DD517A4" w14:textId="77777777" w:rsidR="00921118" w:rsidRPr="00921118" w:rsidRDefault="00921118" w:rsidP="00921118">
            <w:pPr>
              <w:rPr>
                <w:rFonts w:cs="Arial"/>
                <w:b/>
                <w:bCs/>
                <w:color w:val="222222"/>
                <w:szCs w:val="24"/>
              </w:rPr>
            </w:pPr>
            <w:r w:rsidRPr="00921118">
              <w:rPr>
                <w:rFonts w:cs="Arial"/>
                <w:b/>
                <w:bCs/>
                <w:color w:val="222222"/>
                <w:szCs w:val="24"/>
              </w:rPr>
              <w:t>Training &amp; Workforce Development</w:t>
            </w:r>
          </w:p>
          <w:p w14:paraId="12F8C01A" w14:textId="77777777" w:rsidR="00921118" w:rsidRPr="00921118" w:rsidRDefault="00921118" w:rsidP="00921118">
            <w:pPr>
              <w:numPr>
                <w:ilvl w:val="0"/>
                <w:numId w:val="30"/>
              </w:numPr>
              <w:rPr>
                <w:rFonts w:cs="Arial"/>
                <w:color w:val="222222"/>
                <w:szCs w:val="24"/>
              </w:rPr>
            </w:pPr>
            <w:r w:rsidRPr="00921118">
              <w:rPr>
                <w:rFonts w:cs="Arial"/>
                <w:color w:val="222222"/>
                <w:szCs w:val="24"/>
              </w:rPr>
              <w:t>Contribute to training programmes for Foundation Year 2 doctors, specialty registrars, and other health professionals.</w:t>
            </w:r>
          </w:p>
          <w:p w14:paraId="24F3A181" w14:textId="09BCA2AD" w:rsidR="00FC2344" w:rsidRPr="00E55D19" w:rsidRDefault="00FC2344" w:rsidP="00FC2344">
            <w:pPr>
              <w:numPr>
                <w:ilvl w:val="0"/>
                <w:numId w:val="25"/>
              </w:numPr>
              <w:rPr>
                <w:rFonts w:cs="Arial"/>
                <w:color w:val="222222"/>
                <w:szCs w:val="24"/>
              </w:rPr>
            </w:pPr>
            <w:r>
              <w:rPr>
                <w:rFonts w:cs="Arial"/>
                <w:color w:val="222222"/>
                <w:szCs w:val="24"/>
              </w:rPr>
              <w:lastRenderedPageBreak/>
              <w:t>Act as an Educational/Clinical supervisor for trainees and contribute to workforce planning and succession development.</w:t>
            </w:r>
            <w:r>
              <w:rPr>
                <w:rFonts w:cs="Arial"/>
                <w:color w:val="222222"/>
                <w:szCs w:val="24"/>
              </w:rPr>
              <w:br/>
            </w:r>
          </w:p>
          <w:p w14:paraId="356DFE06" w14:textId="5106080D" w:rsidR="00921118" w:rsidRPr="00921118" w:rsidRDefault="00921118" w:rsidP="00921118">
            <w:pPr>
              <w:rPr>
                <w:rFonts w:cs="Arial"/>
                <w:b/>
                <w:bCs/>
                <w:color w:val="222222"/>
                <w:szCs w:val="24"/>
              </w:rPr>
            </w:pPr>
            <w:r w:rsidRPr="00921118">
              <w:rPr>
                <w:rFonts w:cs="Arial"/>
                <w:b/>
                <w:bCs/>
                <w:color w:val="222222"/>
                <w:szCs w:val="24"/>
              </w:rPr>
              <w:t>Governance &amp; Ethical Practice</w:t>
            </w:r>
          </w:p>
          <w:p w14:paraId="57B6F755" w14:textId="2694D007" w:rsidR="00921118" w:rsidRDefault="00921118" w:rsidP="00921118">
            <w:pPr>
              <w:numPr>
                <w:ilvl w:val="0"/>
                <w:numId w:val="31"/>
              </w:numPr>
              <w:rPr>
                <w:rFonts w:cs="Arial"/>
                <w:color w:val="222222"/>
                <w:szCs w:val="24"/>
              </w:rPr>
            </w:pPr>
            <w:r w:rsidRPr="00921118">
              <w:rPr>
                <w:rFonts w:cs="Arial"/>
                <w:color w:val="222222"/>
                <w:szCs w:val="24"/>
              </w:rPr>
              <w:t>Ensure compliance with statutory duties, professional standards and ethical frameworks.</w:t>
            </w:r>
          </w:p>
          <w:p w14:paraId="7C976400" w14:textId="3FAEC33C" w:rsidR="00E11D7B" w:rsidRPr="00921118" w:rsidRDefault="00E11D7B" w:rsidP="00921118">
            <w:pPr>
              <w:numPr>
                <w:ilvl w:val="0"/>
                <w:numId w:val="31"/>
              </w:numPr>
              <w:rPr>
                <w:rFonts w:cs="Arial"/>
                <w:color w:val="222222"/>
                <w:szCs w:val="24"/>
              </w:rPr>
            </w:pPr>
            <w:r>
              <w:rPr>
                <w:rFonts w:cs="Arial"/>
                <w:color w:val="222222"/>
                <w:szCs w:val="24"/>
              </w:rPr>
              <w:t>Ensure appropriate indemnity for cross-over duties.</w:t>
            </w:r>
          </w:p>
          <w:p w14:paraId="213B58D7" w14:textId="77777777" w:rsidR="00921118" w:rsidRDefault="00921118" w:rsidP="00921118">
            <w:pPr>
              <w:numPr>
                <w:ilvl w:val="0"/>
                <w:numId w:val="31"/>
              </w:numPr>
              <w:rPr>
                <w:rFonts w:cs="Arial"/>
                <w:color w:val="222222"/>
                <w:szCs w:val="24"/>
              </w:rPr>
            </w:pPr>
            <w:r w:rsidRPr="00921118">
              <w:rPr>
                <w:rFonts w:cs="Arial"/>
                <w:color w:val="222222"/>
                <w:szCs w:val="24"/>
              </w:rPr>
              <w:t>Maintain scientific integrity and advocate for evidence-based public health practice.</w:t>
            </w:r>
          </w:p>
          <w:p w14:paraId="06ADA4DA" w14:textId="5B279F21" w:rsidR="00E11D7B" w:rsidRPr="00921118" w:rsidRDefault="00E11D7B" w:rsidP="00921118">
            <w:pPr>
              <w:numPr>
                <w:ilvl w:val="0"/>
                <w:numId w:val="31"/>
              </w:numPr>
              <w:rPr>
                <w:rFonts w:cs="Arial"/>
                <w:color w:val="222222"/>
                <w:szCs w:val="24"/>
              </w:rPr>
            </w:pPr>
            <w:r>
              <w:rPr>
                <w:rFonts w:cs="Arial"/>
                <w:color w:val="222222"/>
                <w:szCs w:val="24"/>
              </w:rPr>
              <w:t>Maintain confidentiality, comply with GDPR and uphold public interest disclosure obligations.</w:t>
            </w:r>
          </w:p>
          <w:p w14:paraId="7CCBE53A" w14:textId="77777777" w:rsidR="00921118" w:rsidRPr="00921118" w:rsidRDefault="00921118" w:rsidP="00921118">
            <w:pPr>
              <w:numPr>
                <w:ilvl w:val="0"/>
                <w:numId w:val="31"/>
              </w:numPr>
              <w:rPr>
                <w:rFonts w:cs="Arial"/>
                <w:color w:val="222222"/>
                <w:szCs w:val="24"/>
              </w:rPr>
            </w:pPr>
            <w:r w:rsidRPr="00921118">
              <w:rPr>
                <w:rFonts w:cs="Arial"/>
                <w:color w:val="222222"/>
                <w:szCs w:val="24"/>
              </w:rPr>
              <w:t>Participate in on-call arrangements for public health emergencies or infectious disease outbreaks.</w:t>
            </w:r>
          </w:p>
          <w:p w14:paraId="3536917C" w14:textId="77777777" w:rsidR="00E11D7B" w:rsidRDefault="00E11D7B" w:rsidP="00E11D7B">
            <w:pPr>
              <w:rPr>
                <w:rFonts w:cs="Arial"/>
                <w:b/>
                <w:bCs/>
                <w:color w:val="222222"/>
                <w:szCs w:val="24"/>
              </w:rPr>
            </w:pPr>
            <w:r w:rsidRPr="00CF4D48">
              <w:rPr>
                <w:rFonts w:cs="Arial"/>
                <w:b/>
                <w:bCs/>
                <w:color w:val="222222"/>
                <w:szCs w:val="24"/>
              </w:rPr>
              <w:t>Professional Obligations</w:t>
            </w:r>
          </w:p>
          <w:p w14:paraId="0DB87B3F" w14:textId="39D8C0DA" w:rsidR="00E11D7B" w:rsidRPr="00CF4D48" w:rsidRDefault="00E11D7B" w:rsidP="00E11D7B">
            <w:pPr>
              <w:pStyle w:val="ListParagraph"/>
              <w:numPr>
                <w:ilvl w:val="0"/>
                <w:numId w:val="34"/>
              </w:numPr>
              <w:rPr>
                <w:rFonts w:cs="Arial"/>
                <w:b/>
                <w:bCs/>
                <w:color w:val="222222"/>
                <w:szCs w:val="24"/>
              </w:rPr>
            </w:pPr>
            <w:r>
              <w:rPr>
                <w:rFonts w:cs="Arial"/>
                <w:color w:val="222222"/>
                <w:szCs w:val="24"/>
              </w:rPr>
              <w:t>Undertake the required CPD in line with Faculty of Public Health (FPH) requirements</w:t>
            </w:r>
          </w:p>
          <w:p w14:paraId="0848CD0D" w14:textId="037E5AF8" w:rsidR="00E11D7B" w:rsidRPr="00CF4D48" w:rsidRDefault="00E11D7B" w:rsidP="00E11D7B">
            <w:pPr>
              <w:pStyle w:val="ListParagraph"/>
              <w:numPr>
                <w:ilvl w:val="0"/>
                <w:numId w:val="34"/>
              </w:numPr>
              <w:rPr>
                <w:rFonts w:cs="Arial"/>
                <w:b/>
                <w:bCs/>
                <w:color w:val="222222"/>
                <w:szCs w:val="24"/>
              </w:rPr>
            </w:pPr>
            <w:r>
              <w:rPr>
                <w:rFonts w:cs="Arial"/>
                <w:color w:val="222222"/>
                <w:szCs w:val="24"/>
              </w:rPr>
              <w:t>Contribute to FPH activities in include training programmes and Faculty roles (examiner/assessor)</w:t>
            </w:r>
          </w:p>
          <w:p w14:paraId="327D1338" w14:textId="28D0ACB6" w:rsidR="00921118" w:rsidRPr="00D52B91" w:rsidRDefault="00E11D7B" w:rsidP="008453FC">
            <w:pPr>
              <w:pStyle w:val="ListParagraph"/>
              <w:numPr>
                <w:ilvl w:val="0"/>
                <w:numId w:val="34"/>
              </w:numPr>
              <w:rPr>
                <w:rFonts w:cs="Arial"/>
                <w:b/>
                <w:bCs/>
                <w:color w:val="222222"/>
                <w:szCs w:val="24"/>
              </w:rPr>
            </w:pPr>
            <w:r w:rsidRPr="002D4B69">
              <w:rPr>
                <w:rFonts w:cs="Arial"/>
                <w:color w:val="222222"/>
                <w:szCs w:val="24"/>
              </w:rPr>
              <w:t>Adhere to GMC Good Medical Practice and FPH Good Public Health Practice</w:t>
            </w:r>
          </w:p>
          <w:p w14:paraId="39AF8D21" w14:textId="550D43C0" w:rsidR="00D52B91" w:rsidRPr="00667993" w:rsidRDefault="00D52B91" w:rsidP="008453FC">
            <w:pPr>
              <w:pStyle w:val="ListParagraph"/>
              <w:numPr>
                <w:ilvl w:val="0"/>
                <w:numId w:val="34"/>
              </w:numPr>
              <w:rPr>
                <w:rFonts w:cs="Arial"/>
                <w:b/>
                <w:bCs/>
                <w:color w:val="222222"/>
                <w:sz w:val="22"/>
                <w:szCs w:val="22"/>
              </w:rPr>
            </w:pPr>
            <w:r w:rsidRPr="00667993">
              <w:rPr>
                <w:rFonts w:cs="Arial"/>
                <w:color w:val="222222"/>
                <w:szCs w:val="24"/>
              </w:rPr>
              <w:t xml:space="preserve">Meet and keep updated against FPH’s </w:t>
            </w:r>
            <w:r w:rsidR="005117E2" w:rsidRPr="00667993">
              <w:rPr>
                <w:rFonts w:cs="Arial"/>
                <w:color w:val="222222"/>
                <w:szCs w:val="24"/>
              </w:rPr>
              <w:t xml:space="preserve">competencies – </w:t>
            </w:r>
            <w:r w:rsidR="005117E2" w:rsidRPr="00667993">
              <w:rPr>
                <w:rFonts w:cs="Arial"/>
                <w:color w:val="222222"/>
                <w:sz w:val="22"/>
                <w:szCs w:val="22"/>
              </w:rPr>
              <w:t>see</w:t>
            </w:r>
            <w:r w:rsidR="005117E2" w:rsidRPr="00667993">
              <w:rPr>
                <w:rFonts w:cs="Arial"/>
                <w:b/>
                <w:bCs/>
                <w:color w:val="222222"/>
                <w:sz w:val="22"/>
                <w:szCs w:val="22"/>
              </w:rPr>
              <w:t xml:space="preserve"> Appendix 2</w:t>
            </w:r>
          </w:p>
          <w:p w14:paraId="62CBBBC0" w14:textId="12F849F2" w:rsidR="001350D8" w:rsidRPr="001350D8" w:rsidRDefault="001350D8" w:rsidP="001350D8">
            <w:pPr>
              <w:rPr>
                <w:rFonts w:cs="Arial"/>
                <w:i/>
                <w:color w:val="222222"/>
                <w:szCs w:val="24"/>
              </w:rPr>
            </w:pPr>
          </w:p>
        </w:tc>
      </w:tr>
      <w:tr w:rsidR="00305579" w14:paraId="3F5C13B8" w14:textId="77777777" w:rsidTr="007934DB">
        <w:trPr>
          <w:trHeight w:val="1631"/>
        </w:trPr>
        <w:tc>
          <w:tcPr>
            <w:tcW w:w="1950" w:type="dxa"/>
          </w:tcPr>
          <w:p w14:paraId="64B968E3" w14:textId="77777777" w:rsidR="00305579" w:rsidRDefault="00305579">
            <w:r>
              <w:lastRenderedPageBreak/>
              <w:t>Responsibility for Resources</w:t>
            </w:r>
          </w:p>
        </w:tc>
        <w:tc>
          <w:tcPr>
            <w:tcW w:w="8489" w:type="dxa"/>
          </w:tcPr>
          <w:p w14:paraId="368F1128" w14:textId="77777777" w:rsidR="00A862C8" w:rsidRPr="00E50C5A" w:rsidRDefault="00A862C8" w:rsidP="00C41D0A">
            <w:pPr>
              <w:rPr>
                <w:iCs/>
              </w:rPr>
            </w:pPr>
            <w:r w:rsidRPr="00E50C5A">
              <w:rPr>
                <w:iCs/>
              </w:rPr>
              <w:t>In addition to staffing budgets will be responsible for:</w:t>
            </w:r>
          </w:p>
          <w:p w14:paraId="765767B3" w14:textId="77777777" w:rsidR="00305579" w:rsidRDefault="003406D2" w:rsidP="00C41D0A">
            <w:pPr>
              <w:rPr>
                <w:iCs/>
              </w:rPr>
            </w:pPr>
            <w:r w:rsidRPr="00E50C5A">
              <w:rPr>
                <w:iCs/>
              </w:rPr>
              <w:t>Approx £6.5M associated with commissioning Reproductive and Sexual Health, Drug and Alcohol and Health Checks and Smoking Cessations Services.</w:t>
            </w:r>
          </w:p>
          <w:p w14:paraId="5D60AA8F" w14:textId="6FB971A3" w:rsidR="002D4B69" w:rsidRPr="002D4B69" w:rsidRDefault="002D4B69" w:rsidP="00C41D0A">
            <w:pPr>
              <w:rPr>
                <w:iCs/>
              </w:rPr>
            </w:pPr>
          </w:p>
        </w:tc>
      </w:tr>
      <w:tr w:rsidR="00AC42D4" w14:paraId="18910B06" w14:textId="77777777" w:rsidTr="007934DB">
        <w:trPr>
          <w:trHeight w:val="4093"/>
        </w:trPr>
        <w:tc>
          <w:tcPr>
            <w:tcW w:w="1950" w:type="dxa"/>
          </w:tcPr>
          <w:p w14:paraId="0E254F65" w14:textId="77777777" w:rsidR="00AC42D4" w:rsidRDefault="00AC42D4">
            <w:r>
              <w:t>Standard Phrases</w:t>
            </w:r>
          </w:p>
        </w:tc>
        <w:tc>
          <w:tcPr>
            <w:tcW w:w="8489" w:type="dxa"/>
          </w:tcPr>
          <w:p w14:paraId="1DE7FC40" w14:textId="02E8A30E" w:rsidR="00096E1A" w:rsidRDefault="00096E1A" w:rsidP="00E227EA">
            <w:pPr>
              <w:rPr>
                <w:i/>
              </w:rPr>
            </w:pPr>
            <w:r w:rsidRPr="00096E1A">
              <w:rPr>
                <w:iCs/>
              </w:rPr>
              <w:t>This Post is deemed Politically restricted</w:t>
            </w:r>
            <w:r w:rsidR="00023F90">
              <w:rPr>
                <w:iCs/>
              </w:rPr>
              <w:t>.</w:t>
            </w:r>
          </w:p>
          <w:p w14:paraId="082BCFB1" w14:textId="77777777" w:rsidR="00096E1A" w:rsidRDefault="00096E1A" w:rsidP="00E227EA">
            <w:pPr>
              <w:rPr>
                <w:i/>
              </w:rPr>
            </w:pPr>
          </w:p>
          <w:p w14:paraId="4F38D637" w14:textId="3FBF0A48" w:rsidR="00E227EA" w:rsidRPr="00096E1A" w:rsidRDefault="00E227EA">
            <w:pPr>
              <w:rPr>
                <w:iCs/>
              </w:rPr>
            </w:pPr>
            <w:r w:rsidRPr="00096E1A">
              <w:rPr>
                <w:iCs/>
              </w:rPr>
              <w:t xml:space="preserve">Contribute to the </w:t>
            </w:r>
            <w:r w:rsidR="00985F2B">
              <w:rPr>
                <w:iCs/>
              </w:rPr>
              <w:t>vision of the organisation and city.</w:t>
            </w:r>
          </w:p>
          <w:p w14:paraId="0D0B940D" w14:textId="77777777" w:rsidR="00E227EA" w:rsidRPr="00096E1A" w:rsidRDefault="00E227EA">
            <w:pPr>
              <w:rPr>
                <w:iCs/>
              </w:rPr>
            </w:pPr>
          </w:p>
          <w:p w14:paraId="57841515" w14:textId="0B8E610D" w:rsidR="00E227EA" w:rsidRPr="00096E1A" w:rsidRDefault="00E227EA">
            <w:pPr>
              <w:rPr>
                <w:iCs/>
              </w:rPr>
            </w:pPr>
            <w:r w:rsidRPr="00096E1A">
              <w:rPr>
                <w:iCs/>
              </w:rPr>
              <w:t xml:space="preserve">Contribute to the Council’s </w:t>
            </w:r>
            <w:r w:rsidR="005A4FFC" w:rsidRPr="00096E1A">
              <w:rPr>
                <w:iCs/>
              </w:rPr>
              <w:t>Corporate Plan</w:t>
            </w:r>
            <w:r w:rsidR="003A78C6" w:rsidRPr="00096E1A">
              <w:rPr>
                <w:iCs/>
              </w:rPr>
              <w:t xml:space="preserve"> and</w:t>
            </w:r>
            <w:r w:rsidRPr="00096E1A">
              <w:rPr>
                <w:iCs/>
              </w:rPr>
              <w:t xml:space="preserve"> adhere to the Council’s Val</w:t>
            </w:r>
            <w:r w:rsidR="003A78C6" w:rsidRPr="00096E1A">
              <w:rPr>
                <w:iCs/>
              </w:rPr>
              <w:t>ues and Behaviours</w:t>
            </w:r>
            <w:r w:rsidRPr="00096E1A">
              <w:rPr>
                <w:iCs/>
              </w:rPr>
              <w:t>.</w:t>
            </w:r>
          </w:p>
          <w:p w14:paraId="0E27B00A" w14:textId="77777777" w:rsidR="00C32FEE" w:rsidRPr="00096E1A" w:rsidRDefault="00C32FEE">
            <w:pPr>
              <w:rPr>
                <w:iCs/>
              </w:rPr>
            </w:pPr>
          </w:p>
          <w:p w14:paraId="7A55BB7B" w14:textId="77777777" w:rsidR="00B43F72" w:rsidRPr="00096E1A" w:rsidRDefault="00186D4D">
            <w:pPr>
              <w:rPr>
                <w:iCs/>
              </w:rPr>
            </w:pPr>
            <w:r w:rsidRPr="00096E1A">
              <w:rPr>
                <w:iCs/>
              </w:rPr>
              <w:t>Contribute</w:t>
            </w:r>
            <w:r w:rsidR="00B43F72" w:rsidRPr="00096E1A">
              <w:rPr>
                <w:iCs/>
              </w:rPr>
              <w:t xml:space="preserve"> to the Council’s success by accepting new tasks, helping team members, learning new skills, and striving to improve personal and team </w:t>
            </w:r>
            <w:r w:rsidR="00C06F33" w:rsidRPr="00096E1A">
              <w:rPr>
                <w:iCs/>
              </w:rPr>
              <w:t>results</w:t>
            </w:r>
            <w:r w:rsidR="00B43F72" w:rsidRPr="00096E1A">
              <w:rPr>
                <w:iCs/>
              </w:rPr>
              <w:t xml:space="preserve">. </w:t>
            </w:r>
          </w:p>
          <w:p w14:paraId="60061E4C" w14:textId="77777777" w:rsidR="00B43F72" w:rsidRPr="00096E1A" w:rsidRDefault="00B43F72">
            <w:pPr>
              <w:rPr>
                <w:iCs/>
              </w:rPr>
            </w:pPr>
          </w:p>
          <w:p w14:paraId="2E7DCC3C" w14:textId="77777777" w:rsidR="00AC42D4" w:rsidRPr="00096E1A" w:rsidRDefault="00A76E8E">
            <w:pPr>
              <w:rPr>
                <w:iCs/>
              </w:rPr>
            </w:pPr>
            <w:r w:rsidRPr="00096E1A">
              <w:rPr>
                <w:iCs/>
              </w:rPr>
              <w:t>B</w:t>
            </w:r>
            <w:r w:rsidR="00C32FEE" w:rsidRPr="00096E1A">
              <w:rPr>
                <w:iCs/>
              </w:rPr>
              <w:t xml:space="preserve">e familiar with </w:t>
            </w:r>
            <w:r w:rsidRPr="00096E1A">
              <w:rPr>
                <w:iCs/>
              </w:rPr>
              <w:t>Equal Opportunities good practic</w:t>
            </w:r>
            <w:r w:rsidR="00C32FEE" w:rsidRPr="00096E1A">
              <w:rPr>
                <w:iCs/>
              </w:rPr>
              <w:t>e and with the Council</w:t>
            </w:r>
            <w:r w:rsidRPr="00096E1A">
              <w:rPr>
                <w:iCs/>
              </w:rPr>
              <w:t>’s</w:t>
            </w:r>
            <w:r w:rsidR="00C32FEE" w:rsidRPr="00096E1A">
              <w:rPr>
                <w:iCs/>
              </w:rPr>
              <w:t xml:space="preserve"> requirements for Diversity and to implement this in all aspects of working</w:t>
            </w:r>
            <w:r w:rsidR="004F72CD" w:rsidRPr="00096E1A">
              <w:rPr>
                <w:iCs/>
              </w:rPr>
              <w:t>.</w:t>
            </w:r>
          </w:p>
          <w:p w14:paraId="44EAFD9C" w14:textId="77777777" w:rsidR="004F72CD" w:rsidRPr="00096E1A" w:rsidRDefault="004F72CD">
            <w:pPr>
              <w:rPr>
                <w:iCs/>
              </w:rPr>
            </w:pPr>
          </w:p>
          <w:p w14:paraId="0E0A93C9" w14:textId="77777777" w:rsidR="004F72CD" w:rsidRPr="00096E1A" w:rsidRDefault="004F72CD">
            <w:pPr>
              <w:rPr>
                <w:iCs/>
              </w:rPr>
            </w:pPr>
            <w:r w:rsidRPr="00096E1A">
              <w:rPr>
                <w:iCs/>
              </w:rPr>
              <w:t>Promote and work in line with the princi</w:t>
            </w:r>
            <w:r w:rsidR="00C41D0A" w:rsidRPr="00096E1A">
              <w:rPr>
                <w:iCs/>
              </w:rPr>
              <w:t>ples of the Data Protection Act</w:t>
            </w:r>
            <w:r w:rsidR="00411864" w:rsidRPr="00096E1A">
              <w:rPr>
                <w:iCs/>
              </w:rPr>
              <w:t xml:space="preserve"> </w:t>
            </w:r>
            <w:r w:rsidR="00E227EA" w:rsidRPr="00096E1A">
              <w:rPr>
                <w:iCs/>
              </w:rPr>
              <w:t>and GDPR.</w:t>
            </w:r>
          </w:p>
          <w:p w14:paraId="4B94D5A5" w14:textId="77777777" w:rsidR="00C32FEE" w:rsidRPr="00096E1A" w:rsidRDefault="00C32FEE">
            <w:pPr>
              <w:rPr>
                <w:iCs/>
              </w:rPr>
            </w:pPr>
          </w:p>
          <w:p w14:paraId="2457F7C7" w14:textId="77777777" w:rsidR="00AC42D4" w:rsidRPr="004F72CD" w:rsidRDefault="00AC42D4">
            <w:pPr>
              <w:rPr>
                <w:i/>
              </w:rPr>
            </w:pPr>
            <w:r w:rsidRPr="00096E1A">
              <w:rPr>
                <w:iCs/>
              </w:rPr>
              <w:t>This job description does not form part of your contract of employment</w:t>
            </w:r>
          </w:p>
        </w:tc>
      </w:tr>
      <w:tr w:rsidR="00305579" w14:paraId="31DECC75" w14:textId="77777777" w:rsidTr="007934DB">
        <w:trPr>
          <w:trHeight w:val="1371"/>
        </w:trPr>
        <w:tc>
          <w:tcPr>
            <w:tcW w:w="1950" w:type="dxa"/>
          </w:tcPr>
          <w:p w14:paraId="54925BAE" w14:textId="77777777" w:rsidR="00305579" w:rsidRDefault="00664D37">
            <w:r>
              <w:t>Disclosure &amp; Barring Service</w:t>
            </w:r>
          </w:p>
        </w:tc>
        <w:tc>
          <w:tcPr>
            <w:tcW w:w="8489" w:type="dxa"/>
          </w:tcPr>
          <w:p w14:paraId="462AB718" w14:textId="11B6C75F" w:rsidR="00444122" w:rsidRPr="00096E1A" w:rsidRDefault="00305579" w:rsidP="00305579">
            <w:pPr>
              <w:pStyle w:val="BodyText"/>
              <w:rPr>
                <w:rFonts w:ascii="Arial" w:hAnsi="Arial"/>
                <w:i/>
                <w:sz w:val="24"/>
                <w:szCs w:val="24"/>
              </w:rPr>
            </w:pPr>
            <w:r w:rsidRPr="00096E1A">
              <w:rPr>
                <w:rFonts w:ascii="Arial" w:hAnsi="Arial"/>
                <w:iCs/>
                <w:sz w:val="24"/>
                <w:szCs w:val="24"/>
              </w:rPr>
              <w:t xml:space="preserve">This role requires an </w:t>
            </w:r>
            <w:r w:rsidR="00023F90">
              <w:rPr>
                <w:rFonts w:ascii="Arial" w:hAnsi="Arial"/>
                <w:iCs/>
                <w:sz w:val="24"/>
                <w:szCs w:val="24"/>
              </w:rPr>
              <w:t>Enhanced</w:t>
            </w:r>
            <w:r w:rsidR="00A10094" w:rsidRPr="00096E1A">
              <w:rPr>
                <w:rFonts w:ascii="Arial" w:hAnsi="Arial"/>
                <w:iCs/>
                <w:sz w:val="24"/>
                <w:szCs w:val="24"/>
              </w:rPr>
              <w:t xml:space="preserve"> Disclosure &amp; Barring </w:t>
            </w:r>
            <w:r w:rsidR="00B128B6" w:rsidRPr="00096E1A">
              <w:rPr>
                <w:rFonts w:ascii="Arial" w:hAnsi="Arial"/>
                <w:iCs/>
                <w:sz w:val="24"/>
                <w:szCs w:val="24"/>
              </w:rPr>
              <w:t>Service Check</w:t>
            </w:r>
            <w:r w:rsidR="00096E1A" w:rsidRPr="00096E1A">
              <w:rPr>
                <w:rFonts w:ascii="Arial" w:hAnsi="Arial"/>
                <w:iCs/>
                <w:sz w:val="24"/>
                <w:szCs w:val="24"/>
              </w:rPr>
              <w:t xml:space="preserve"> for the Adults and Children</w:t>
            </w:r>
            <w:r w:rsidR="00023F90">
              <w:rPr>
                <w:rFonts w:ascii="Arial" w:hAnsi="Arial"/>
                <w:iCs/>
                <w:sz w:val="24"/>
                <w:szCs w:val="24"/>
              </w:rPr>
              <w:t>’</w:t>
            </w:r>
            <w:r w:rsidR="00096E1A" w:rsidRPr="00096E1A">
              <w:rPr>
                <w:rFonts w:ascii="Arial" w:hAnsi="Arial"/>
                <w:iCs/>
                <w:sz w:val="24"/>
                <w:szCs w:val="24"/>
              </w:rPr>
              <w:t>s</w:t>
            </w:r>
            <w:r w:rsidR="00023F90">
              <w:rPr>
                <w:rFonts w:ascii="Arial" w:hAnsi="Arial"/>
                <w:iCs/>
                <w:sz w:val="24"/>
                <w:szCs w:val="24"/>
              </w:rPr>
              <w:t xml:space="preserve"> </w:t>
            </w:r>
            <w:r w:rsidR="00096E1A" w:rsidRPr="00096E1A">
              <w:rPr>
                <w:rFonts w:ascii="Arial" w:hAnsi="Arial"/>
                <w:iCs/>
                <w:sz w:val="24"/>
                <w:szCs w:val="24"/>
              </w:rPr>
              <w:t>workforce</w:t>
            </w:r>
            <w:r w:rsidR="00096E1A">
              <w:rPr>
                <w:rFonts w:ascii="Arial" w:hAnsi="Arial"/>
                <w:iCs/>
                <w:sz w:val="24"/>
                <w:szCs w:val="24"/>
              </w:rPr>
              <w:t>,</w:t>
            </w:r>
            <w:r w:rsidR="00096E1A" w:rsidRPr="00096E1A">
              <w:rPr>
                <w:rFonts w:ascii="Arial" w:hAnsi="Arial"/>
                <w:iCs/>
                <w:sz w:val="24"/>
                <w:szCs w:val="24"/>
              </w:rPr>
              <w:t xml:space="preserve"> with a check against the barred list</w:t>
            </w:r>
          </w:p>
          <w:p w14:paraId="1C670406" w14:textId="7A3DBCB4" w:rsidR="00305579" w:rsidRPr="007934DB" w:rsidRDefault="00305579" w:rsidP="00A10094">
            <w:pPr>
              <w:pStyle w:val="BodyText"/>
              <w:rPr>
                <w:i/>
                <w:sz w:val="20"/>
              </w:rPr>
            </w:pPr>
          </w:p>
        </w:tc>
      </w:tr>
    </w:tbl>
    <w:p w14:paraId="37FCD48F" w14:textId="77777777" w:rsidR="007A15AF" w:rsidRDefault="007A15AF" w:rsidP="00667993">
      <w:pPr>
        <w:rPr>
          <w:b/>
        </w:rPr>
      </w:pPr>
    </w:p>
    <w:p w14:paraId="469B5358" w14:textId="77777777" w:rsidR="00467B8C" w:rsidRDefault="00467B8C" w:rsidP="005572D0">
      <w:pPr>
        <w:ind w:left="-1276" w:firstLine="1276"/>
        <w:rPr>
          <w:b/>
        </w:rPr>
      </w:pPr>
    </w:p>
    <w:p w14:paraId="5AEA3E98" w14:textId="77777777" w:rsidR="00467B8C" w:rsidRDefault="00467B8C" w:rsidP="005572D0">
      <w:pPr>
        <w:ind w:left="-1276" w:firstLine="1276"/>
        <w:rPr>
          <w:b/>
        </w:rPr>
      </w:pPr>
    </w:p>
    <w:p w14:paraId="25A2FA0A" w14:textId="4FD9359A" w:rsidR="002F0198" w:rsidRDefault="007059C0" w:rsidP="005572D0">
      <w:pPr>
        <w:ind w:left="-1276" w:firstLine="1276"/>
        <w:rPr>
          <w:b/>
        </w:rPr>
      </w:pPr>
      <w:r>
        <w:rPr>
          <w:b/>
        </w:rPr>
        <w:t xml:space="preserve">PART B: </w:t>
      </w:r>
      <w:r w:rsidR="002F0198">
        <w:rPr>
          <w:b/>
        </w:rPr>
        <w:t>PERSON SPECIFICATION</w:t>
      </w:r>
      <w:r w:rsidR="00E93725">
        <w:rPr>
          <w:b/>
        </w:rPr>
        <w:tab/>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0"/>
        <w:gridCol w:w="1134"/>
        <w:gridCol w:w="1559"/>
      </w:tblGrid>
      <w:tr w:rsidR="00E93725" w:rsidRPr="00411864" w14:paraId="2714FCE5" w14:textId="77777777" w:rsidTr="00E559FD">
        <w:tc>
          <w:tcPr>
            <w:tcW w:w="2127" w:type="dxa"/>
          </w:tcPr>
          <w:p w14:paraId="3534188A" w14:textId="77777777" w:rsidR="00E93725" w:rsidRPr="00411864" w:rsidRDefault="00E93725">
            <w:pPr>
              <w:rPr>
                <w:b/>
              </w:rPr>
            </w:pPr>
            <w:r w:rsidRPr="00411864">
              <w:rPr>
                <w:b/>
              </w:rPr>
              <w:t>Attributes</w:t>
            </w:r>
          </w:p>
        </w:tc>
        <w:tc>
          <w:tcPr>
            <w:tcW w:w="5670" w:type="dxa"/>
          </w:tcPr>
          <w:p w14:paraId="18283460" w14:textId="77777777" w:rsidR="00E93725" w:rsidRPr="00411864" w:rsidRDefault="00E93725">
            <w:pPr>
              <w:rPr>
                <w:b/>
              </w:rPr>
            </w:pPr>
            <w:r w:rsidRPr="00411864">
              <w:rPr>
                <w:b/>
              </w:rPr>
              <w:t>Activity</w:t>
            </w:r>
          </w:p>
        </w:tc>
        <w:tc>
          <w:tcPr>
            <w:tcW w:w="1134" w:type="dxa"/>
          </w:tcPr>
          <w:p w14:paraId="15DB1609" w14:textId="77777777" w:rsidR="00E93725" w:rsidRPr="009B1786" w:rsidRDefault="00E93725">
            <w:pPr>
              <w:rPr>
                <w:b/>
                <w:sz w:val="20"/>
              </w:rPr>
            </w:pPr>
            <w:r w:rsidRPr="009B1786">
              <w:rPr>
                <w:b/>
                <w:sz w:val="20"/>
              </w:rPr>
              <w:t>E</w:t>
            </w:r>
            <w:r w:rsidRPr="004510EB">
              <w:rPr>
                <w:sz w:val="20"/>
              </w:rPr>
              <w:t>ssential</w:t>
            </w:r>
            <w:r>
              <w:rPr>
                <w:b/>
                <w:sz w:val="20"/>
              </w:rPr>
              <w:t xml:space="preserve"> or D</w:t>
            </w:r>
            <w:r w:rsidRPr="004510EB">
              <w:rPr>
                <w:sz w:val="20"/>
              </w:rPr>
              <w:t>esirable</w:t>
            </w:r>
          </w:p>
        </w:tc>
        <w:tc>
          <w:tcPr>
            <w:tcW w:w="1559" w:type="dxa"/>
          </w:tcPr>
          <w:p w14:paraId="7E23BBEC" w14:textId="77777777" w:rsidR="00E93725" w:rsidRPr="009B1786" w:rsidRDefault="00E93725">
            <w:pPr>
              <w:rPr>
                <w:b/>
                <w:sz w:val="20"/>
              </w:rPr>
            </w:pPr>
            <w:r w:rsidRPr="009B1786">
              <w:rPr>
                <w:b/>
                <w:sz w:val="20"/>
              </w:rPr>
              <w:t>How evidenced</w:t>
            </w:r>
          </w:p>
        </w:tc>
      </w:tr>
      <w:tr w:rsidR="00E93725" w14:paraId="0A78B6E5" w14:textId="77777777" w:rsidTr="00E559FD">
        <w:tc>
          <w:tcPr>
            <w:tcW w:w="2127" w:type="dxa"/>
          </w:tcPr>
          <w:p w14:paraId="38A4EE9F" w14:textId="77777777" w:rsidR="00E93725" w:rsidRDefault="00E93725">
            <w:r>
              <w:t>Qualifications or membership to a Registered Body</w:t>
            </w:r>
          </w:p>
        </w:tc>
        <w:tc>
          <w:tcPr>
            <w:tcW w:w="5670" w:type="dxa"/>
          </w:tcPr>
          <w:p w14:paraId="25C5709F" w14:textId="0A7DBEAF" w:rsidR="00E93725" w:rsidRDefault="003406D2" w:rsidP="00517A5D">
            <w:pPr>
              <w:rPr>
                <w:rFonts w:eastAsia="Arial"/>
                <w:color w:val="000000"/>
                <w:szCs w:val="24"/>
              </w:rPr>
            </w:pPr>
            <w:r w:rsidRPr="00EA0E66">
              <w:rPr>
                <w:rFonts w:eastAsia="Arial"/>
                <w:color w:val="000000"/>
                <w:szCs w:val="24"/>
              </w:rPr>
              <w:t xml:space="preserve">Inclusion in the GMC Specialist Register/GDC Specialist List/UK Public Health Register (UKPHR) for Public Health Specialists </w:t>
            </w:r>
          </w:p>
          <w:p w14:paraId="181581E6" w14:textId="77777777" w:rsidR="003631EA" w:rsidRDefault="003631EA" w:rsidP="00517A5D">
            <w:pPr>
              <w:rPr>
                <w:rFonts w:eastAsia="Arial"/>
                <w:color w:val="000000"/>
                <w:szCs w:val="24"/>
              </w:rPr>
            </w:pPr>
          </w:p>
          <w:p w14:paraId="73AEFDCB" w14:textId="3BA0385D" w:rsidR="003406D2" w:rsidRDefault="003631EA" w:rsidP="00517A5D">
            <w:pPr>
              <w:rPr>
                <w:rFonts w:eastAsia="Arial"/>
                <w:i/>
                <w:color w:val="000000"/>
                <w:szCs w:val="24"/>
              </w:rPr>
            </w:pPr>
            <w:r>
              <w:rPr>
                <w:rFonts w:eastAsia="Arial"/>
                <w:color w:val="000000"/>
                <w:szCs w:val="24"/>
              </w:rPr>
              <w:t xml:space="preserve">If registered in a </w:t>
            </w:r>
            <w:r w:rsidR="003406D2" w:rsidRPr="00205949">
              <w:rPr>
                <w:rFonts w:eastAsia="Arial"/>
                <w:iCs/>
                <w:color w:val="000000"/>
                <w:szCs w:val="24"/>
              </w:rPr>
              <w:t xml:space="preserve">specialty other than public health medicine/dental public health, </w:t>
            </w:r>
            <w:r w:rsidR="008B6F55" w:rsidRPr="00205949">
              <w:rPr>
                <w:rFonts w:eastAsia="Arial"/>
                <w:iCs/>
                <w:color w:val="000000"/>
                <w:szCs w:val="24"/>
              </w:rPr>
              <w:t xml:space="preserve">the </w:t>
            </w:r>
            <w:r w:rsidR="003406D2" w:rsidRPr="00205949">
              <w:rPr>
                <w:rFonts w:eastAsia="Arial"/>
                <w:iCs/>
                <w:color w:val="000000"/>
                <w:szCs w:val="24"/>
              </w:rPr>
              <w:t>equivalent training and/or appropriate experience of public health medicine practice</w:t>
            </w:r>
          </w:p>
          <w:p w14:paraId="71374DB6" w14:textId="77777777" w:rsidR="008B6F55" w:rsidRDefault="008B6F55" w:rsidP="00517A5D">
            <w:pPr>
              <w:rPr>
                <w:rFonts w:eastAsia="Arial"/>
                <w:i/>
                <w:color w:val="000000"/>
                <w:szCs w:val="24"/>
              </w:rPr>
            </w:pPr>
          </w:p>
          <w:p w14:paraId="1B18C481" w14:textId="4C6A5255" w:rsidR="008B6F55" w:rsidRDefault="001538C1" w:rsidP="00517A5D">
            <w:pPr>
              <w:rPr>
                <w:rFonts w:eastAsia="Arial"/>
                <w:color w:val="000000"/>
                <w:szCs w:val="24"/>
              </w:rPr>
            </w:pPr>
            <w:r>
              <w:rPr>
                <w:rFonts w:eastAsia="Arial"/>
                <w:color w:val="000000"/>
                <w:szCs w:val="24"/>
              </w:rPr>
              <w:t>Must meet minimum CPD requirements</w:t>
            </w:r>
            <w:r w:rsidR="00181B84">
              <w:rPr>
                <w:rFonts w:eastAsia="Arial"/>
                <w:color w:val="000000"/>
                <w:szCs w:val="24"/>
              </w:rPr>
              <w:t xml:space="preserve"> in line with the Faculty of Public Health or other recognised body standards</w:t>
            </w:r>
          </w:p>
          <w:p w14:paraId="50BAC2AB" w14:textId="77777777" w:rsidR="00F97AE4" w:rsidRDefault="00F97AE4" w:rsidP="00517A5D">
            <w:pPr>
              <w:rPr>
                <w:rFonts w:eastAsia="Arial"/>
                <w:color w:val="000000"/>
                <w:szCs w:val="24"/>
              </w:rPr>
            </w:pPr>
          </w:p>
          <w:p w14:paraId="30F80ACA" w14:textId="699FA79C" w:rsidR="00F97AE4" w:rsidRDefault="00F97AE4" w:rsidP="00517A5D">
            <w:pPr>
              <w:rPr>
                <w:rFonts w:eastAsia="Arial"/>
                <w:color w:val="000000"/>
                <w:szCs w:val="24"/>
              </w:rPr>
            </w:pPr>
            <w:r>
              <w:rPr>
                <w:rFonts w:eastAsia="Arial"/>
                <w:color w:val="000000"/>
                <w:szCs w:val="24"/>
              </w:rPr>
              <w:t>Accredited Clinical Supervisor (Faculty of Public Health</w:t>
            </w:r>
          </w:p>
          <w:p w14:paraId="3E5C7AD2" w14:textId="77777777" w:rsidR="00F97AE4" w:rsidRDefault="00F97AE4" w:rsidP="00517A5D">
            <w:pPr>
              <w:rPr>
                <w:rFonts w:eastAsia="Arial"/>
                <w:color w:val="000000"/>
                <w:szCs w:val="24"/>
              </w:rPr>
            </w:pPr>
          </w:p>
          <w:p w14:paraId="51DCEDF6" w14:textId="6FD9032D" w:rsidR="00F97AE4" w:rsidRDefault="002E510E" w:rsidP="00517A5D">
            <w:pPr>
              <w:rPr>
                <w:rFonts w:eastAsia="Arial"/>
                <w:color w:val="000000"/>
                <w:szCs w:val="24"/>
              </w:rPr>
            </w:pPr>
            <w:r>
              <w:rPr>
                <w:rFonts w:eastAsia="Arial"/>
                <w:color w:val="000000"/>
                <w:szCs w:val="24"/>
              </w:rPr>
              <w:t>Membership of the Faculty of Public Health (MFPH) by examination, exemption or assessment</w:t>
            </w:r>
          </w:p>
          <w:p w14:paraId="2F3FCAF0" w14:textId="77777777" w:rsidR="002E510E" w:rsidRDefault="002E510E" w:rsidP="00517A5D">
            <w:pPr>
              <w:rPr>
                <w:rFonts w:eastAsia="Arial"/>
                <w:color w:val="000000"/>
                <w:szCs w:val="24"/>
              </w:rPr>
            </w:pPr>
          </w:p>
          <w:p w14:paraId="212CEF0C" w14:textId="3F8459DC" w:rsidR="002E510E" w:rsidRDefault="00E635D8" w:rsidP="00517A5D">
            <w:pPr>
              <w:rPr>
                <w:rFonts w:eastAsia="Arial"/>
                <w:color w:val="000000"/>
                <w:szCs w:val="24"/>
              </w:rPr>
            </w:pPr>
            <w:r>
              <w:rPr>
                <w:rFonts w:eastAsia="Arial"/>
                <w:color w:val="000000"/>
                <w:szCs w:val="24"/>
              </w:rPr>
              <w:t xml:space="preserve">Masters degree in Public Health </w:t>
            </w:r>
            <w:r w:rsidR="00C1584E">
              <w:rPr>
                <w:rFonts w:eastAsia="Arial"/>
                <w:color w:val="000000"/>
                <w:szCs w:val="24"/>
              </w:rPr>
              <w:t>or equivalent</w:t>
            </w:r>
          </w:p>
          <w:p w14:paraId="6AA5710F" w14:textId="77777777" w:rsidR="00181B84" w:rsidRDefault="00181B84" w:rsidP="00517A5D">
            <w:pPr>
              <w:rPr>
                <w:rFonts w:eastAsia="Arial"/>
                <w:color w:val="000000"/>
                <w:szCs w:val="24"/>
              </w:rPr>
            </w:pPr>
          </w:p>
          <w:p w14:paraId="4965D141" w14:textId="5EA6A325" w:rsidR="003406D2" w:rsidRPr="00E635D8" w:rsidRDefault="00930E65" w:rsidP="00E635D8">
            <w:pPr>
              <w:rPr>
                <w:rFonts w:eastAsia="Arial"/>
                <w:color w:val="000000"/>
                <w:sz w:val="18"/>
                <w:szCs w:val="18"/>
              </w:rPr>
            </w:pPr>
            <w:r w:rsidRPr="001538C1">
              <w:rPr>
                <w:rFonts w:eastAsia="Arial"/>
                <w:color w:val="000000"/>
                <w:sz w:val="18"/>
                <w:szCs w:val="18"/>
              </w:rPr>
              <w:t>*</w:t>
            </w:r>
            <w:r w:rsidR="003406D2" w:rsidRPr="001538C1">
              <w:rPr>
                <w:rFonts w:eastAsia="Arial"/>
                <w:color w:val="000000"/>
                <w:sz w:val="18"/>
                <w:szCs w:val="18"/>
              </w:rPr>
              <w:t xml:space="preserve">Public health specialty registrar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GMC/GDC/UKPHR specialist registers </w:t>
            </w:r>
          </w:p>
        </w:tc>
        <w:tc>
          <w:tcPr>
            <w:tcW w:w="1134" w:type="dxa"/>
          </w:tcPr>
          <w:p w14:paraId="4971CE08" w14:textId="77777777" w:rsidR="00E93725" w:rsidRPr="00AA30F2" w:rsidRDefault="003406D2" w:rsidP="00E93725">
            <w:pPr>
              <w:rPr>
                <w:szCs w:val="24"/>
              </w:rPr>
            </w:pPr>
            <w:r w:rsidRPr="00AA30F2">
              <w:rPr>
                <w:szCs w:val="24"/>
              </w:rPr>
              <w:t>E</w:t>
            </w:r>
          </w:p>
          <w:p w14:paraId="671AA3F2" w14:textId="77777777" w:rsidR="003406D2" w:rsidRPr="00AA30F2" w:rsidRDefault="003406D2" w:rsidP="00E93725">
            <w:pPr>
              <w:rPr>
                <w:szCs w:val="24"/>
              </w:rPr>
            </w:pPr>
          </w:p>
          <w:p w14:paraId="02061C7D" w14:textId="77777777" w:rsidR="003406D2" w:rsidRPr="00AA30F2" w:rsidRDefault="003406D2" w:rsidP="00E93725">
            <w:pPr>
              <w:rPr>
                <w:szCs w:val="24"/>
              </w:rPr>
            </w:pPr>
          </w:p>
          <w:p w14:paraId="1B0183B0" w14:textId="77777777" w:rsidR="003406D2" w:rsidRPr="00AA30F2" w:rsidRDefault="003406D2" w:rsidP="00E93725">
            <w:pPr>
              <w:rPr>
                <w:szCs w:val="24"/>
              </w:rPr>
            </w:pPr>
          </w:p>
          <w:p w14:paraId="68DF8B89" w14:textId="719C59EE" w:rsidR="003406D2" w:rsidRPr="00AA30F2" w:rsidRDefault="003406D2" w:rsidP="00E93725">
            <w:pPr>
              <w:rPr>
                <w:szCs w:val="24"/>
              </w:rPr>
            </w:pPr>
            <w:r w:rsidRPr="00AA30F2">
              <w:rPr>
                <w:szCs w:val="24"/>
              </w:rPr>
              <w:t>E</w:t>
            </w:r>
          </w:p>
          <w:p w14:paraId="0400CD7D" w14:textId="77777777" w:rsidR="003406D2" w:rsidRPr="00AA30F2" w:rsidRDefault="003406D2" w:rsidP="00E93725">
            <w:pPr>
              <w:rPr>
                <w:szCs w:val="24"/>
              </w:rPr>
            </w:pPr>
          </w:p>
          <w:p w14:paraId="510CC86F" w14:textId="77777777" w:rsidR="003406D2" w:rsidRPr="00AA30F2" w:rsidRDefault="003406D2" w:rsidP="00E93725">
            <w:pPr>
              <w:rPr>
                <w:szCs w:val="24"/>
              </w:rPr>
            </w:pPr>
          </w:p>
          <w:p w14:paraId="2296F1C4" w14:textId="77777777" w:rsidR="003406D2" w:rsidRPr="00AA30F2" w:rsidRDefault="003406D2" w:rsidP="00E93725">
            <w:pPr>
              <w:rPr>
                <w:szCs w:val="24"/>
              </w:rPr>
            </w:pPr>
          </w:p>
          <w:p w14:paraId="20212129" w14:textId="77777777" w:rsidR="003406D2" w:rsidRPr="00AA30F2" w:rsidRDefault="003406D2" w:rsidP="00E93725">
            <w:pPr>
              <w:rPr>
                <w:szCs w:val="24"/>
              </w:rPr>
            </w:pPr>
          </w:p>
          <w:p w14:paraId="4E757BE1" w14:textId="77777777" w:rsidR="003406D2" w:rsidRPr="00AA30F2" w:rsidRDefault="003406D2" w:rsidP="00E93725">
            <w:pPr>
              <w:rPr>
                <w:szCs w:val="24"/>
              </w:rPr>
            </w:pPr>
            <w:r w:rsidRPr="00AA30F2">
              <w:rPr>
                <w:szCs w:val="24"/>
              </w:rPr>
              <w:t>E</w:t>
            </w:r>
          </w:p>
          <w:p w14:paraId="7E139148" w14:textId="77777777" w:rsidR="003406D2" w:rsidRPr="00AA30F2" w:rsidRDefault="003406D2" w:rsidP="00E93725">
            <w:pPr>
              <w:rPr>
                <w:szCs w:val="24"/>
              </w:rPr>
            </w:pPr>
          </w:p>
          <w:p w14:paraId="1810E296" w14:textId="77777777" w:rsidR="003406D2" w:rsidRPr="00AA30F2" w:rsidRDefault="003406D2" w:rsidP="00E93725">
            <w:pPr>
              <w:rPr>
                <w:szCs w:val="24"/>
              </w:rPr>
            </w:pPr>
          </w:p>
          <w:p w14:paraId="2C88C6D3" w14:textId="77777777" w:rsidR="003406D2" w:rsidRPr="00AA30F2" w:rsidRDefault="003406D2" w:rsidP="00E93725">
            <w:pPr>
              <w:rPr>
                <w:szCs w:val="24"/>
              </w:rPr>
            </w:pPr>
          </w:p>
          <w:p w14:paraId="07859FA1" w14:textId="77777777" w:rsidR="003406D2" w:rsidRPr="00AA30F2" w:rsidRDefault="003406D2" w:rsidP="00E93725">
            <w:pPr>
              <w:rPr>
                <w:szCs w:val="24"/>
              </w:rPr>
            </w:pPr>
            <w:r w:rsidRPr="00AA30F2">
              <w:rPr>
                <w:szCs w:val="24"/>
              </w:rPr>
              <w:t>D</w:t>
            </w:r>
          </w:p>
          <w:p w14:paraId="1BBEAF99" w14:textId="77777777" w:rsidR="003406D2" w:rsidRPr="00AA30F2" w:rsidRDefault="003406D2" w:rsidP="00E93725">
            <w:pPr>
              <w:rPr>
                <w:szCs w:val="24"/>
              </w:rPr>
            </w:pPr>
          </w:p>
          <w:p w14:paraId="18DFA87B" w14:textId="460AA1B5" w:rsidR="003406D2" w:rsidRPr="00AA30F2" w:rsidRDefault="002E510E" w:rsidP="00E93725">
            <w:pPr>
              <w:rPr>
                <w:szCs w:val="24"/>
              </w:rPr>
            </w:pPr>
            <w:r w:rsidRPr="00AA30F2">
              <w:rPr>
                <w:szCs w:val="24"/>
              </w:rPr>
              <w:br/>
            </w:r>
            <w:r w:rsidR="004A6548" w:rsidRPr="00667993">
              <w:rPr>
                <w:szCs w:val="24"/>
              </w:rPr>
              <w:t>E</w:t>
            </w:r>
          </w:p>
          <w:p w14:paraId="12B81C94" w14:textId="77777777" w:rsidR="003406D2" w:rsidRPr="00AA30F2" w:rsidRDefault="003406D2" w:rsidP="00E93725">
            <w:pPr>
              <w:rPr>
                <w:szCs w:val="24"/>
              </w:rPr>
            </w:pPr>
          </w:p>
          <w:p w14:paraId="2936601E" w14:textId="28822B79" w:rsidR="003406D2" w:rsidRPr="00AA30F2" w:rsidRDefault="002E510E" w:rsidP="00E93725">
            <w:pPr>
              <w:rPr>
                <w:szCs w:val="24"/>
              </w:rPr>
            </w:pPr>
            <w:r w:rsidRPr="00AA30F2">
              <w:rPr>
                <w:szCs w:val="24"/>
              </w:rPr>
              <w:br/>
            </w:r>
            <w:r w:rsidR="003406D2" w:rsidRPr="00AA30F2">
              <w:rPr>
                <w:szCs w:val="24"/>
              </w:rPr>
              <w:t>D</w:t>
            </w:r>
          </w:p>
          <w:p w14:paraId="7AC6D427" w14:textId="418E890F" w:rsidR="003406D2" w:rsidRPr="00AA30F2" w:rsidRDefault="003406D2" w:rsidP="00E93725">
            <w:pPr>
              <w:rPr>
                <w:szCs w:val="24"/>
              </w:rPr>
            </w:pPr>
          </w:p>
        </w:tc>
        <w:tc>
          <w:tcPr>
            <w:tcW w:w="1559" w:type="dxa"/>
          </w:tcPr>
          <w:p w14:paraId="0827BC99" w14:textId="77777777" w:rsidR="00E93725" w:rsidRPr="00E870CD" w:rsidRDefault="00930E65" w:rsidP="003A78C6">
            <w:pPr>
              <w:rPr>
                <w:i/>
                <w:szCs w:val="24"/>
                <w:lang w:val="pt-PT"/>
              </w:rPr>
            </w:pPr>
            <w:r w:rsidRPr="00E870CD">
              <w:rPr>
                <w:i/>
                <w:szCs w:val="24"/>
                <w:lang w:val="pt-PT"/>
              </w:rPr>
              <w:t>A, C*</w:t>
            </w:r>
          </w:p>
          <w:p w14:paraId="3FF3E07F" w14:textId="77777777" w:rsidR="00E635D8" w:rsidRPr="00E870CD" w:rsidRDefault="00E635D8" w:rsidP="003A78C6">
            <w:pPr>
              <w:rPr>
                <w:i/>
                <w:szCs w:val="24"/>
                <w:lang w:val="pt-PT"/>
              </w:rPr>
            </w:pPr>
          </w:p>
          <w:p w14:paraId="119541B0" w14:textId="77777777" w:rsidR="00E635D8" w:rsidRPr="00E870CD" w:rsidRDefault="00E635D8" w:rsidP="003A78C6">
            <w:pPr>
              <w:rPr>
                <w:i/>
                <w:szCs w:val="24"/>
                <w:lang w:val="pt-PT"/>
              </w:rPr>
            </w:pPr>
          </w:p>
          <w:p w14:paraId="45A38948" w14:textId="77777777" w:rsidR="00E635D8" w:rsidRPr="00E870CD" w:rsidRDefault="00E635D8" w:rsidP="003A78C6">
            <w:pPr>
              <w:rPr>
                <w:i/>
                <w:szCs w:val="24"/>
                <w:lang w:val="pt-PT"/>
              </w:rPr>
            </w:pPr>
          </w:p>
          <w:p w14:paraId="6918A2A9" w14:textId="263D159A" w:rsidR="00E635D8" w:rsidRPr="00E870CD" w:rsidRDefault="00E635D8" w:rsidP="003A78C6">
            <w:pPr>
              <w:rPr>
                <w:i/>
                <w:szCs w:val="24"/>
                <w:lang w:val="pt-PT"/>
              </w:rPr>
            </w:pPr>
            <w:r w:rsidRPr="00E870CD">
              <w:rPr>
                <w:i/>
                <w:szCs w:val="24"/>
                <w:lang w:val="pt-PT"/>
              </w:rPr>
              <w:t>A, C, I</w:t>
            </w:r>
          </w:p>
          <w:p w14:paraId="387BAD77" w14:textId="77777777" w:rsidR="00E635D8" w:rsidRPr="00E870CD" w:rsidRDefault="00E635D8" w:rsidP="003A78C6">
            <w:pPr>
              <w:rPr>
                <w:i/>
                <w:szCs w:val="24"/>
                <w:lang w:val="pt-PT"/>
              </w:rPr>
            </w:pPr>
          </w:p>
          <w:p w14:paraId="3BC40614" w14:textId="77777777" w:rsidR="00E635D8" w:rsidRPr="00E870CD" w:rsidRDefault="00E635D8" w:rsidP="003A78C6">
            <w:pPr>
              <w:rPr>
                <w:i/>
                <w:szCs w:val="24"/>
                <w:lang w:val="pt-PT"/>
              </w:rPr>
            </w:pPr>
          </w:p>
          <w:p w14:paraId="665D0B23" w14:textId="77777777" w:rsidR="00E635D8" w:rsidRPr="00E870CD" w:rsidRDefault="00E635D8" w:rsidP="003A78C6">
            <w:pPr>
              <w:rPr>
                <w:i/>
                <w:szCs w:val="24"/>
                <w:lang w:val="pt-PT"/>
              </w:rPr>
            </w:pPr>
          </w:p>
          <w:p w14:paraId="69E980C9" w14:textId="77777777" w:rsidR="00E635D8" w:rsidRPr="00E870CD" w:rsidRDefault="00E635D8" w:rsidP="003A78C6">
            <w:pPr>
              <w:rPr>
                <w:i/>
                <w:szCs w:val="24"/>
                <w:lang w:val="pt-PT"/>
              </w:rPr>
            </w:pPr>
          </w:p>
          <w:p w14:paraId="50750A39" w14:textId="77777777" w:rsidR="00E635D8" w:rsidRPr="00E870CD" w:rsidRDefault="00E635D8" w:rsidP="003A78C6">
            <w:pPr>
              <w:rPr>
                <w:i/>
                <w:szCs w:val="24"/>
                <w:lang w:val="pt-PT"/>
              </w:rPr>
            </w:pPr>
            <w:r w:rsidRPr="00E870CD">
              <w:rPr>
                <w:i/>
                <w:szCs w:val="24"/>
                <w:lang w:val="pt-PT"/>
              </w:rPr>
              <w:t>A, C</w:t>
            </w:r>
          </w:p>
          <w:p w14:paraId="2C9DD126" w14:textId="77777777" w:rsidR="00E635D8" w:rsidRPr="00E870CD" w:rsidRDefault="00E635D8" w:rsidP="003A78C6">
            <w:pPr>
              <w:rPr>
                <w:i/>
                <w:szCs w:val="24"/>
                <w:lang w:val="pt-PT"/>
              </w:rPr>
            </w:pPr>
          </w:p>
          <w:p w14:paraId="2980FD39" w14:textId="77777777" w:rsidR="00E635D8" w:rsidRPr="00E870CD" w:rsidRDefault="00E635D8" w:rsidP="003A78C6">
            <w:pPr>
              <w:rPr>
                <w:i/>
                <w:szCs w:val="24"/>
                <w:lang w:val="pt-PT"/>
              </w:rPr>
            </w:pPr>
          </w:p>
          <w:p w14:paraId="2E8A76AD" w14:textId="77777777" w:rsidR="00E635D8" w:rsidRPr="00E870CD" w:rsidRDefault="00E635D8" w:rsidP="003A78C6">
            <w:pPr>
              <w:rPr>
                <w:i/>
                <w:szCs w:val="24"/>
                <w:lang w:val="pt-PT"/>
              </w:rPr>
            </w:pPr>
          </w:p>
          <w:p w14:paraId="580B0F1C" w14:textId="77777777" w:rsidR="00E635D8" w:rsidRPr="00E870CD" w:rsidRDefault="00E635D8" w:rsidP="003A78C6">
            <w:pPr>
              <w:rPr>
                <w:i/>
                <w:szCs w:val="24"/>
                <w:lang w:val="pt-PT"/>
              </w:rPr>
            </w:pPr>
            <w:r w:rsidRPr="00E870CD">
              <w:rPr>
                <w:i/>
                <w:szCs w:val="24"/>
                <w:lang w:val="pt-PT"/>
              </w:rPr>
              <w:t>A, C</w:t>
            </w:r>
          </w:p>
          <w:p w14:paraId="7612E461" w14:textId="77777777" w:rsidR="00E635D8" w:rsidRPr="00E870CD" w:rsidRDefault="00E635D8" w:rsidP="003A78C6">
            <w:pPr>
              <w:rPr>
                <w:i/>
                <w:szCs w:val="24"/>
                <w:lang w:val="pt-PT"/>
              </w:rPr>
            </w:pPr>
          </w:p>
          <w:p w14:paraId="4CAEF475" w14:textId="77777777" w:rsidR="00E635D8" w:rsidRPr="00E870CD" w:rsidRDefault="00E635D8" w:rsidP="003A78C6">
            <w:pPr>
              <w:rPr>
                <w:i/>
                <w:szCs w:val="24"/>
                <w:lang w:val="pt-PT"/>
              </w:rPr>
            </w:pPr>
          </w:p>
          <w:p w14:paraId="4E15044C" w14:textId="77777777" w:rsidR="00E635D8" w:rsidRPr="00E870CD" w:rsidRDefault="00E635D8" w:rsidP="003A78C6">
            <w:pPr>
              <w:rPr>
                <w:i/>
                <w:szCs w:val="24"/>
                <w:lang w:val="pt-PT"/>
              </w:rPr>
            </w:pPr>
            <w:r w:rsidRPr="00E870CD">
              <w:rPr>
                <w:i/>
                <w:szCs w:val="24"/>
                <w:lang w:val="pt-PT"/>
              </w:rPr>
              <w:t>A, C</w:t>
            </w:r>
          </w:p>
          <w:p w14:paraId="5D7C3745" w14:textId="77777777" w:rsidR="00E635D8" w:rsidRPr="00E870CD" w:rsidRDefault="00E635D8" w:rsidP="003A78C6">
            <w:pPr>
              <w:rPr>
                <w:i/>
                <w:szCs w:val="24"/>
                <w:lang w:val="pt-PT"/>
              </w:rPr>
            </w:pPr>
          </w:p>
          <w:p w14:paraId="6B0BD285" w14:textId="77777777" w:rsidR="00E635D8" w:rsidRPr="00E870CD" w:rsidRDefault="00E635D8" w:rsidP="003A78C6">
            <w:pPr>
              <w:rPr>
                <w:i/>
                <w:szCs w:val="24"/>
                <w:lang w:val="pt-PT"/>
              </w:rPr>
            </w:pPr>
          </w:p>
          <w:p w14:paraId="59AA4934" w14:textId="447A83D4" w:rsidR="00E635D8" w:rsidRPr="00AA30F2" w:rsidRDefault="00E635D8" w:rsidP="003A78C6">
            <w:pPr>
              <w:rPr>
                <w:i/>
                <w:szCs w:val="24"/>
              </w:rPr>
            </w:pPr>
            <w:r w:rsidRPr="00AA30F2">
              <w:rPr>
                <w:i/>
                <w:szCs w:val="24"/>
              </w:rPr>
              <w:t>A, C</w:t>
            </w:r>
          </w:p>
        </w:tc>
      </w:tr>
      <w:tr w:rsidR="00E93725" w14:paraId="64F99367" w14:textId="77777777" w:rsidTr="00E559FD">
        <w:tc>
          <w:tcPr>
            <w:tcW w:w="2127" w:type="dxa"/>
          </w:tcPr>
          <w:p w14:paraId="2A390029" w14:textId="77777777" w:rsidR="00E93725" w:rsidRDefault="00E93725">
            <w:r>
              <w:t>Knowledge, Experience Skills and Abilities</w:t>
            </w:r>
          </w:p>
          <w:p w14:paraId="0BA43763" w14:textId="1C7E054B" w:rsidR="005D2097" w:rsidRPr="003A78C6" w:rsidRDefault="005D2097">
            <w:pPr>
              <w:rPr>
                <w:i/>
                <w:color w:val="FF0000"/>
              </w:rPr>
            </w:pPr>
          </w:p>
          <w:p w14:paraId="45FB0818" w14:textId="77777777" w:rsidR="00E93725" w:rsidRDefault="00E93725" w:rsidP="005B2815"/>
        </w:tc>
        <w:tc>
          <w:tcPr>
            <w:tcW w:w="5670" w:type="dxa"/>
          </w:tcPr>
          <w:p w14:paraId="3AAA601A" w14:textId="1E6CF0E1" w:rsidR="00961D17" w:rsidRDefault="00961D17" w:rsidP="00961D17">
            <w:pPr>
              <w:rPr>
                <w:rFonts w:eastAsia="Arial"/>
                <w:color w:val="000000"/>
                <w:szCs w:val="24"/>
              </w:rPr>
            </w:pPr>
            <w:r w:rsidRPr="00961D17">
              <w:rPr>
                <w:rFonts w:eastAsia="Arial"/>
                <w:b/>
                <w:bCs/>
                <w:color w:val="000000"/>
                <w:szCs w:val="24"/>
              </w:rPr>
              <w:t>Strategic Leadership</w:t>
            </w:r>
            <w:r w:rsidRPr="00961D17">
              <w:rPr>
                <w:rFonts w:eastAsia="Arial"/>
                <w:color w:val="000000"/>
                <w:szCs w:val="24"/>
              </w:rPr>
              <w:t>: Proven ability to lead complex change programmes across organisational boundaries</w:t>
            </w:r>
            <w:r w:rsidR="00EF465C">
              <w:rPr>
                <w:rFonts w:eastAsia="Arial"/>
                <w:color w:val="000000"/>
                <w:szCs w:val="24"/>
              </w:rPr>
              <w:t xml:space="preserve">, influence </w:t>
            </w:r>
            <w:r w:rsidR="00D07D41">
              <w:rPr>
                <w:rFonts w:eastAsia="Arial"/>
                <w:color w:val="000000"/>
                <w:szCs w:val="24"/>
              </w:rPr>
              <w:t>leaders</w:t>
            </w:r>
            <w:r w:rsidR="00223F2F">
              <w:rPr>
                <w:rFonts w:eastAsia="Arial"/>
                <w:color w:val="000000"/>
                <w:szCs w:val="24"/>
              </w:rPr>
              <w:t>, including CEOs</w:t>
            </w:r>
            <w:r w:rsidRPr="00961D17">
              <w:rPr>
                <w:rFonts w:eastAsia="Arial"/>
                <w:color w:val="000000"/>
                <w:szCs w:val="24"/>
              </w:rPr>
              <w:t xml:space="preserve"> and motivate partners to improve population health. </w:t>
            </w:r>
          </w:p>
          <w:p w14:paraId="047C68DC" w14:textId="4BEA98F8" w:rsidR="00D241CA" w:rsidRPr="00961D17" w:rsidRDefault="00D40DE1" w:rsidP="00961D17">
            <w:pPr>
              <w:rPr>
                <w:rFonts w:eastAsia="Arial"/>
                <w:color w:val="000000"/>
                <w:szCs w:val="24"/>
              </w:rPr>
            </w:pPr>
            <w:r w:rsidRPr="00667993">
              <w:rPr>
                <w:rFonts w:eastAsia="Arial"/>
                <w:color w:val="000000"/>
                <w:szCs w:val="24"/>
              </w:rPr>
              <w:t>Commitment to work within a political system irrespective of personal political affiliations</w:t>
            </w:r>
          </w:p>
          <w:p w14:paraId="353586DC" w14:textId="7E967028" w:rsidR="00961D17" w:rsidRPr="00961D17" w:rsidRDefault="00961D17" w:rsidP="00961D17">
            <w:pPr>
              <w:rPr>
                <w:rFonts w:eastAsia="Arial"/>
                <w:color w:val="000000"/>
                <w:szCs w:val="24"/>
              </w:rPr>
            </w:pPr>
            <w:r w:rsidRPr="00961D17">
              <w:rPr>
                <w:rFonts w:eastAsia="Arial"/>
                <w:b/>
                <w:bCs/>
                <w:color w:val="000000"/>
                <w:szCs w:val="24"/>
              </w:rPr>
              <w:t>Public Health Expertise</w:t>
            </w:r>
            <w:r w:rsidRPr="00961D17">
              <w:rPr>
                <w:rFonts w:eastAsia="Arial"/>
                <w:color w:val="000000"/>
                <w:szCs w:val="24"/>
              </w:rPr>
              <w:t xml:space="preserve">: </w:t>
            </w:r>
          </w:p>
          <w:p w14:paraId="61836F5A" w14:textId="0E796D25" w:rsidR="00961D17" w:rsidRPr="00961D17" w:rsidRDefault="00961D17" w:rsidP="00E559FD">
            <w:pPr>
              <w:numPr>
                <w:ilvl w:val="0"/>
                <w:numId w:val="32"/>
              </w:numPr>
              <w:tabs>
                <w:tab w:val="clear" w:pos="720"/>
                <w:tab w:val="num" w:pos="887"/>
              </w:tabs>
              <w:ind w:left="320" w:hanging="283"/>
              <w:rPr>
                <w:rFonts w:eastAsia="Arial"/>
                <w:color w:val="000000"/>
                <w:szCs w:val="24"/>
              </w:rPr>
            </w:pPr>
            <w:r w:rsidRPr="00961D17">
              <w:rPr>
                <w:rFonts w:eastAsia="Arial"/>
                <w:color w:val="000000"/>
                <w:szCs w:val="24"/>
              </w:rPr>
              <w:t>In-depth knowledge of clinical quality assurance, quality improvement, evaluation methods, and evidence-based public health practice</w:t>
            </w:r>
            <w:r w:rsidR="00327F6D">
              <w:rPr>
                <w:rFonts w:eastAsia="Arial"/>
                <w:color w:val="000000"/>
                <w:szCs w:val="24"/>
              </w:rPr>
              <w:t xml:space="preserve">, including ability to assess effectiveness </w:t>
            </w:r>
            <w:r w:rsidR="002C57E4">
              <w:rPr>
                <w:rFonts w:eastAsia="Arial"/>
                <w:color w:val="000000"/>
                <w:szCs w:val="24"/>
              </w:rPr>
              <w:t>of interventions and measure outcomes</w:t>
            </w:r>
            <w:r w:rsidRPr="00961D17">
              <w:rPr>
                <w:rFonts w:eastAsia="Arial"/>
                <w:color w:val="000000"/>
                <w:szCs w:val="24"/>
              </w:rPr>
              <w:t>.</w:t>
            </w:r>
          </w:p>
          <w:p w14:paraId="0A53A9D6" w14:textId="77777777" w:rsidR="00961D17" w:rsidRPr="00961D17" w:rsidRDefault="00961D17" w:rsidP="00E559FD">
            <w:pPr>
              <w:numPr>
                <w:ilvl w:val="0"/>
                <w:numId w:val="32"/>
              </w:numPr>
              <w:tabs>
                <w:tab w:val="clear" w:pos="720"/>
                <w:tab w:val="num" w:pos="887"/>
              </w:tabs>
              <w:ind w:left="320" w:hanging="283"/>
              <w:rPr>
                <w:rFonts w:eastAsia="Arial"/>
                <w:color w:val="000000"/>
                <w:szCs w:val="24"/>
              </w:rPr>
            </w:pPr>
            <w:r w:rsidRPr="00961D17">
              <w:rPr>
                <w:rFonts w:eastAsia="Arial"/>
                <w:color w:val="000000"/>
                <w:szCs w:val="24"/>
              </w:rPr>
              <w:t>Strong understanding of interfaces between health, social care, and key partners, including wider determinants of health.</w:t>
            </w:r>
          </w:p>
          <w:p w14:paraId="46A73DED" w14:textId="11B30743" w:rsidR="00961D17" w:rsidRPr="00961D17" w:rsidRDefault="00961D17" w:rsidP="00961D17">
            <w:pPr>
              <w:rPr>
                <w:rFonts w:eastAsia="Arial"/>
                <w:color w:val="000000"/>
                <w:szCs w:val="24"/>
              </w:rPr>
            </w:pPr>
            <w:r w:rsidRPr="00961D17">
              <w:rPr>
                <w:rFonts w:eastAsia="Arial"/>
                <w:b/>
                <w:bCs/>
                <w:color w:val="000000"/>
                <w:szCs w:val="24"/>
              </w:rPr>
              <w:lastRenderedPageBreak/>
              <w:t>Analytical Skills</w:t>
            </w:r>
            <w:r w:rsidRPr="00961D17">
              <w:rPr>
                <w:rFonts w:eastAsia="Arial"/>
                <w:color w:val="000000"/>
                <w:szCs w:val="24"/>
              </w:rPr>
              <w:t xml:space="preserve">: Skilled in </w:t>
            </w:r>
            <w:r w:rsidR="000B0DF1">
              <w:rPr>
                <w:rFonts w:eastAsia="Arial"/>
                <w:color w:val="000000"/>
                <w:szCs w:val="24"/>
              </w:rPr>
              <w:t>synthesising data from multiple sources</w:t>
            </w:r>
            <w:r w:rsidR="00633155">
              <w:rPr>
                <w:rFonts w:eastAsia="Arial"/>
                <w:color w:val="000000"/>
                <w:szCs w:val="24"/>
              </w:rPr>
              <w:t xml:space="preserve"> for surveillance and assessment of population health, including leading JSNA </w:t>
            </w:r>
            <w:r w:rsidR="00D31DBB">
              <w:rPr>
                <w:rFonts w:eastAsia="Arial"/>
                <w:color w:val="000000"/>
                <w:szCs w:val="24"/>
              </w:rPr>
              <w:t>and</w:t>
            </w:r>
            <w:r w:rsidRPr="00961D17">
              <w:rPr>
                <w:rFonts w:eastAsia="Arial"/>
                <w:color w:val="000000"/>
                <w:szCs w:val="24"/>
              </w:rPr>
              <w:t xml:space="preserve"> applying qualitative and quantitative data (including health economics) to inform policy, commissioning, and service improvement. </w:t>
            </w:r>
          </w:p>
          <w:p w14:paraId="18FF7601" w14:textId="12BB1DF0" w:rsidR="00961D17" w:rsidRDefault="00961D17" w:rsidP="00961D17">
            <w:pPr>
              <w:rPr>
                <w:rFonts w:eastAsia="Arial"/>
                <w:color w:val="000000"/>
                <w:szCs w:val="24"/>
              </w:rPr>
            </w:pPr>
            <w:r w:rsidRPr="00961D17">
              <w:rPr>
                <w:rFonts w:eastAsia="Arial"/>
                <w:b/>
                <w:bCs/>
                <w:color w:val="000000"/>
                <w:szCs w:val="24"/>
              </w:rPr>
              <w:t>Policy &amp; Strategy Development</w:t>
            </w:r>
            <w:r w:rsidRPr="00961D17">
              <w:rPr>
                <w:rFonts w:eastAsia="Arial"/>
                <w:color w:val="000000"/>
                <w:szCs w:val="24"/>
              </w:rPr>
              <w:t>: Ability to design and implement strategies and policies, develop inter-agency plans, and contribute to procurement processes</w:t>
            </w:r>
            <w:r w:rsidR="00A25471">
              <w:rPr>
                <w:rFonts w:eastAsia="Arial"/>
                <w:color w:val="000000"/>
                <w:szCs w:val="24"/>
              </w:rPr>
              <w:t>, informed by robust evidence and evaluation frameworks</w:t>
            </w:r>
            <w:r w:rsidRPr="00961D17">
              <w:rPr>
                <w:rFonts w:eastAsia="Arial"/>
                <w:color w:val="000000"/>
                <w:szCs w:val="24"/>
              </w:rPr>
              <w:t>.</w:t>
            </w:r>
          </w:p>
          <w:p w14:paraId="656F45BC" w14:textId="7CB56FB3" w:rsidR="00AE2A0D" w:rsidRPr="00CD5D1C" w:rsidRDefault="00AE2A0D" w:rsidP="00961D17">
            <w:pPr>
              <w:rPr>
                <w:rFonts w:eastAsia="Arial"/>
                <w:color w:val="000000"/>
                <w:szCs w:val="24"/>
              </w:rPr>
            </w:pPr>
            <w:r>
              <w:rPr>
                <w:rFonts w:eastAsia="Arial"/>
                <w:b/>
                <w:bCs/>
                <w:color w:val="000000"/>
                <w:szCs w:val="24"/>
              </w:rPr>
              <w:t xml:space="preserve">Health Protection: </w:t>
            </w:r>
            <w:r w:rsidR="00CD5D1C">
              <w:rPr>
                <w:rFonts w:eastAsia="Arial"/>
                <w:color w:val="000000"/>
                <w:szCs w:val="24"/>
              </w:rPr>
              <w:t>Competence in risk assessment and response coordination for communicable disease control and environmental hazards, including consideration of climate-related risks.</w:t>
            </w:r>
          </w:p>
          <w:p w14:paraId="1B5ED417" w14:textId="5C18F736" w:rsidR="00961D17" w:rsidRPr="00961D17" w:rsidRDefault="00961D17" w:rsidP="00961D17">
            <w:pPr>
              <w:rPr>
                <w:rFonts w:eastAsia="Arial"/>
                <w:color w:val="000000"/>
                <w:szCs w:val="24"/>
              </w:rPr>
            </w:pPr>
            <w:r w:rsidRPr="00961D17">
              <w:rPr>
                <w:rFonts w:eastAsia="Arial"/>
                <w:b/>
                <w:bCs/>
                <w:color w:val="000000"/>
                <w:szCs w:val="24"/>
              </w:rPr>
              <w:t>Communication &amp; Influence</w:t>
            </w:r>
            <w:r w:rsidRPr="00961D17">
              <w:rPr>
                <w:rFonts w:eastAsia="Arial"/>
                <w:color w:val="000000"/>
                <w:szCs w:val="24"/>
              </w:rPr>
              <w:t xml:space="preserve">: </w:t>
            </w:r>
          </w:p>
          <w:p w14:paraId="1FFB3406" w14:textId="6D785722" w:rsidR="00961D17" w:rsidRPr="00961D17" w:rsidRDefault="00961D17" w:rsidP="00E559FD">
            <w:pPr>
              <w:numPr>
                <w:ilvl w:val="0"/>
                <w:numId w:val="33"/>
              </w:numPr>
              <w:tabs>
                <w:tab w:val="clear" w:pos="720"/>
              </w:tabs>
              <w:ind w:left="454"/>
              <w:rPr>
                <w:rFonts w:eastAsia="Arial"/>
                <w:color w:val="000000"/>
                <w:szCs w:val="24"/>
              </w:rPr>
            </w:pPr>
            <w:r w:rsidRPr="00961D17">
              <w:rPr>
                <w:rFonts w:eastAsia="Arial"/>
                <w:color w:val="000000"/>
                <w:szCs w:val="24"/>
              </w:rPr>
              <w:t>Excellent written and verbal communication skills to convey complex concepts to diverse audiences, including councillors, NHS, and community stakeholders</w:t>
            </w:r>
            <w:r w:rsidR="00DA525D">
              <w:rPr>
                <w:rFonts w:eastAsia="Arial"/>
                <w:color w:val="000000"/>
                <w:szCs w:val="24"/>
              </w:rPr>
              <w:t xml:space="preserve"> and advocate for public health priorities</w:t>
            </w:r>
            <w:r w:rsidRPr="00961D17">
              <w:rPr>
                <w:rFonts w:eastAsia="Arial"/>
                <w:color w:val="000000"/>
                <w:szCs w:val="24"/>
              </w:rPr>
              <w:t>.</w:t>
            </w:r>
          </w:p>
          <w:p w14:paraId="03079077" w14:textId="169D9873" w:rsidR="00961D17" w:rsidRPr="00961D17" w:rsidRDefault="00961D17" w:rsidP="00E559FD">
            <w:pPr>
              <w:numPr>
                <w:ilvl w:val="0"/>
                <w:numId w:val="33"/>
              </w:numPr>
              <w:tabs>
                <w:tab w:val="clear" w:pos="720"/>
              </w:tabs>
              <w:ind w:left="454"/>
              <w:rPr>
                <w:rFonts w:eastAsia="Arial"/>
                <w:color w:val="000000"/>
                <w:szCs w:val="24"/>
              </w:rPr>
            </w:pPr>
            <w:r w:rsidRPr="00961D17">
              <w:rPr>
                <w:rFonts w:eastAsia="Arial"/>
                <w:color w:val="000000"/>
                <w:szCs w:val="24"/>
              </w:rPr>
              <w:t>Experience in media engagement to deliver effective health behaviour and health promotion messages.</w:t>
            </w:r>
          </w:p>
          <w:p w14:paraId="543DE73E" w14:textId="0F6E40F6" w:rsidR="00961D17" w:rsidRPr="00961D17" w:rsidRDefault="00961D17" w:rsidP="00961D17">
            <w:pPr>
              <w:rPr>
                <w:rFonts w:eastAsia="Arial"/>
                <w:color w:val="000000"/>
                <w:szCs w:val="24"/>
              </w:rPr>
            </w:pPr>
            <w:r w:rsidRPr="00961D17">
              <w:rPr>
                <w:rFonts w:eastAsia="Arial"/>
                <w:b/>
                <w:bCs/>
                <w:color w:val="000000"/>
                <w:szCs w:val="24"/>
              </w:rPr>
              <w:t>Research &amp; Innovation</w:t>
            </w:r>
            <w:r w:rsidRPr="00961D17">
              <w:rPr>
                <w:rFonts w:eastAsia="Arial"/>
                <w:color w:val="000000"/>
                <w:szCs w:val="24"/>
              </w:rPr>
              <w:t xml:space="preserve">: Experience in applied research, </w:t>
            </w:r>
            <w:r w:rsidR="002F5458">
              <w:rPr>
                <w:rFonts w:eastAsia="Arial"/>
                <w:color w:val="000000"/>
                <w:szCs w:val="24"/>
              </w:rPr>
              <w:t>critical appraisal</w:t>
            </w:r>
            <w:r w:rsidR="00A77890">
              <w:rPr>
                <w:rFonts w:eastAsia="Arial"/>
                <w:color w:val="000000"/>
                <w:szCs w:val="24"/>
              </w:rPr>
              <w:t xml:space="preserve">, </w:t>
            </w:r>
            <w:r w:rsidRPr="00961D17">
              <w:rPr>
                <w:rFonts w:eastAsia="Arial"/>
                <w:color w:val="000000"/>
                <w:szCs w:val="24"/>
              </w:rPr>
              <w:t>evaluation frameworks, and influencing research agendas to meet local needs</w:t>
            </w:r>
            <w:r w:rsidR="00DA525D">
              <w:rPr>
                <w:rFonts w:eastAsia="Arial"/>
                <w:color w:val="000000"/>
                <w:szCs w:val="24"/>
              </w:rPr>
              <w:t xml:space="preserve"> and contribute to teaching and learning activities</w:t>
            </w:r>
            <w:r w:rsidRPr="00961D17">
              <w:rPr>
                <w:rFonts w:eastAsia="Arial"/>
                <w:color w:val="000000"/>
                <w:szCs w:val="24"/>
              </w:rPr>
              <w:t xml:space="preserve">. </w:t>
            </w:r>
          </w:p>
          <w:p w14:paraId="31774225" w14:textId="38480280" w:rsidR="00961D17" w:rsidRPr="00966A15" w:rsidRDefault="00961D17" w:rsidP="00961D17">
            <w:pPr>
              <w:rPr>
                <w:rFonts w:eastAsia="Arial"/>
                <w:color w:val="000000"/>
                <w:szCs w:val="24"/>
              </w:rPr>
            </w:pPr>
            <w:r w:rsidRPr="00961D17">
              <w:rPr>
                <w:rFonts w:eastAsia="Arial"/>
                <w:b/>
                <w:bCs/>
                <w:color w:val="000000"/>
                <w:szCs w:val="24"/>
              </w:rPr>
              <w:t>Leadership &amp; Resilience</w:t>
            </w:r>
            <w:r w:rsidRPr="00961D17">
              <w:rPr>
                <w:rFonts w:eastAsia="Arial"/>
                <w:color w:val="000000"/>
                <w:szCs w:val="24"/>
              </w:rPr>
              <w:t>: Capacity to lead responses in unplanned circumstances, inspire commitment to prevention, and manage complexity effectively.</w:t>
            </w:r>
            <w:r w:rsidR="00966A15">
              <w:rPr>
                <w:rFonts w:eastAsia="Arial"/>
                <w:color w:val="000000"/>
                <w:szCs w:val="24"/>
              </w:rPr>
              <w:br/>
            </w:r>
            <w:r w:rsidR="00966A15">
              <w:rPr>
                <w:rFonts w:eastAsia="Arial"/>
                <w:b/>
                <w:bCs/>
                <w:color w:val="000000"/>
                <w:szCs w:val="24"/>
              </w:rPr>
              <w:t xml:space="preserve">Professional and Ethical Practice: </w:t>
            </w:r>
            <w:r w:rsidR="00966A15">
              <w:rPr>
                <w:rFonts w:eastAsia="Arial"/>
                <w:color w:val="000000"/>
                <w:szCs w:val="24"/>
              </w:rPr>
              <w:t>Commitment to ethical standards</w:t>
            </w:r>
            <w:r w:rsidR="009B5BFE">
              <w:rPr>
                <w:rFonts w:eastAsia="Arial"/>
                <w:color w:val="000000"/>
                <w:szCs w:val="24"/>
              </w:rPr>
              <w:t>, transparency and public health advocacy, maintaining CPD and appraisal in line with FPH requirements</w:t>
            </w:r>
          </w:p>
          <w:p w14:paraId="53128261" w14:textId="3A572332" w:rsidR="003406D2" w:rsidRPr="003406D2" w:rsidRDefault="003406D2" w:rsidP="00B725C8"/>
        </w:tc>
        <w:tc>
          <w:tcPr>
            <w:tcW w:w="1134" w:type="dxa"/>
          </w:tcPr>
          <w:p w14:paraId="11E0D899" w14:textId="77777777" w:rsidR="00E93725" w:rsidRDefault="00692254">
            <w:r>
              <w:lastRenderedPageBreak/>
              <w:t>E</w:t>
            </w:r>
          </w:p>
          <w:p w14:paraId="70F3E81D" w14:textId="77777777" w:rsidR="00692254" w:rsidRDefault="00692254"/>
          <w:p w14:paraId="3A26EA97" w14:textId="77777777" w:rsidR="00692254" w:rsidRDefault="00692254"/>
          <w:p w14:paraId="340F0EFE" w14:textId="77777777" w:rsidR="00692254" w:rsidRDefault="00692254"/>
          <w:p w14:paraId="0DC6ACF2" w14:textId="77777777" w:rsidR="00B725C8" w:rsidRDefault="00B725C8"/>
          <w:p w14:paraId="1FC97F65" w14:textId="77777777" w:rsidR="00D40DE1" w:rsidRDefault="00D40DE1"/>
          <w:p w14:paraId="0EA112A9" w14:textId="77777777" w:rsidR="00D40DE1" w:rsidRDefault="00D40DE1"/>
          <w:p w14:paraId="1904CF62" w14:textId="1028F739" w:rsidR="00692254" w:rsidRDefault="00023E0C">
            <w:r>
              <w:t>E</w:t>
            </w:r>
          </w:p>
          <w:p w14:paraId="10BCA9B2" w14:textId="77777777" w:rsidR="00B725C8" w:rsidRDefault="00B725C8"/>
          <w:p w14:paraId="55887C1C" w14:textId="77777777" w:rsidR="00B725C8" w:rsidRDefault="00B725C8"/>
          <w:p w14:paraId="6993678D" w14:textId="77777777" w:rsidR="00B725C8" w:rsidRDefault="00B725C8"/>
          <w:p w14:paraId="2856653D" w14:textId="3DC8CD93" w:rsidR="00023E0C" w:rsidRDefault="00B725C8">
            <w:r>
              <w:t>E</w:t>
            </w:r>
          </w:p>
          <w:p w14:paraId="04E52785" w14:textId="77777777" w:rsidR="00023E0C" w:rsidRDefault="00023E0C"/>
          <w:p w14:paraId="6EA7C223" w14:textId="77777777" w:rsidR="00023E0C" w:rsidRDefault="00023E0C"/>
          <w:p w14:paraId="1DF63824" w14:textId="77777777" w:rsidR="00023E0C" w:rsidRDefault="00023E0C"/>
          <w:p w14:paraId="7D81B441" w14:textId="77777777" w:rsidR="009B5BFE" w:rsidRDefault="009B5BFE"/>
          <w:p w14:paraId="103B9B98" w14:textId="77777777" w:rsidR="00667993" w:rsidRDefault="00667993"/>
          <w:p w14:paraId="18377220" w14:textId="77777777" w:rsidR="009B5BFE" w:rsidRDefault="009B5BFE"/>
          <w:p w14:paraId="25A8296D" w14:textId="52656DF0" w:rsidR="00023E0C" w:rsidRDefault="00023E0C">
            <w:r>
              <w:lastRenderedPageBreak/>
              <w:t>E</w:t>
            </w:r>
          </w:p>
          <w:p w14:paraId="12E8B8F2" w14:textId="77777777" w:rsidR="005B1D67" w:rsidRDefault="005B1D67"/>
          <w:p w14:paraId="34DD35EF" w14:textId="77777777" w:rsidR="005B1D67" w:rsidRDefault="005B1D67"/>
          <w:p w14:paraId="131EBC14" w14:textId="77777777" w:rsidR="005B1D67" w:rsidRDefault="005B1D67"/>
          <w:p w14:paraId="5C330FE0" w14:textId="77777777" w:rsidR="004C66FC" w:rsidRDefault="004C66FC"/>
          <w:p w14:paraId="424BFC01" w14:textId="77777777" w:rsidR="005B1D67" w:rsidRDefault="005B1D67"/>
          <w:p w14:paraId="3B727157" w14:textId="3F1091B1" w:rsidR="005B1D67" w:rsidRDefault="005B1D67">
            <w:r>
              <w:t>E</w:t>
            </w:r>
          </w:p>
          <w:p w14:paraId="419C5853" w14:textId="77777777" w:rsidR="005B1D67" w:rsidRDefault="005B1D67"/>
          <w:p w14:paraId="4A9E79B7" w14:textId="77777777" w:rsidR="005B1D67" w:rsidRDefault="005B1D67"/>
          <w:p w14:paraId="5474134A" w14:textId="77777777" w:rsidR="00B725C8" w:rsidRDefault="00B725C8"/>
          <w:p w14:paraId="62622F8A" w14:textId="77777777" w:rsidR="00E559FD" w:rsidRDefault="00E559FD"/>
          <w:p w14:paraId="1F03A15B" w14:textId="35BB02AB" w:rsidR="009B5BFE" w:rsidRDefault="009B5BFE">
            <w:r>
              <w:t>E</w:t>
            </w:r>
          </w:p>
          <w:p w14:paraId="4417DF7D" w14:textId="77777777" w:rsidR="009B5BFE" w:rsidRDefault="009B5BFE"/>
          <w:p w14:paraId="6D57FD80" w14:textId="77777777" w:rsidR="009B5BFE" w:rsidRDefault="009B5BFE"/>
          <w:p w14:paraId="4CD78BC9" w14:textId="77777777" w:rsidR="009B5BFE" w:rsidRDefault="009B5BFE"/>
          <w:p w14:paraId="48743FFC" w14:textId="77777777" w:rsidR="009B5BFE" w:rsidRDefault="009B5BFE"/>
          <w:p w14:paraId="3D9B8F79" w14:textId="77777777" w:rsidR="00E559FD" w:rsidRDefault="00E559FD"/>
          <w:p w14:paraId="34D37989" w14:textId="049E200D" w:rsidR="005B1D67" w:rsidRDefault="005B1D67">
            <w:r>
              <w:t>E</w:t>
            </w:r>
            <w:r w:rsidR="00B725C8">
              <w:br/>
            </w:r>
            <w:r w:rsidR="00B725C8">
              <w:br/>
            </w:r>
            <w:r w:rsidR="00B725C8">
              <w:br/>
            </w:r>
            <w:r w:rsidR="00B725C8">
              <w:br/>
            </w:r>
            <w:r w:rsidR="00B725C8">
              <w:br/>
              <w:t>D</w:t>
            </w:r>
            <w:r w:rsidR="00DE2C1A">
              <w:br/>
            </w:r>
            <w:r w:rsidR="00DE2C1A">
              <w:br/>
            </w:r>
            <w:r w:rsidR="00DE2C1A">
              <w:br/>
              <w:t>E</w:t>
            </w:r>
          </w:p>
          <w:p w14:paraId="4B8AF609" w14:textId="77777777" w:rsidR="00DE2C1A" w:rsidRDefault="00DE2C1A"/>
          <w:p w14:paraId="7AE103B9" w14:textId="77777777" w:rsidR="00DE2C1A" w:rsidRDefault="00DE2C1A"/>
          <w:p w14:paraId="644E9031" w14:textId="77777777" w:rsidR="009B5BFE" w:rsidRDefault="009B5BFE"/>
          <w:p w14:paraId="099B5AB2" w14:textId="77777777" w:rsidR="009B5BFE" w:rsidRDefault="009B5BFE"/>
          <w:p w14:paraId="4EBF21C7" w14:textId="77777777" w:rsidR="00DE2C1A" w:rsidRDefault="00DE2C1A">
            <w:r>
              <w:t>E</w:t>
            </w:r>
          </w:p>
          <w:p w14:paraId="21C6BB7E" w14:textId="77777777" w:rsidR="009B5BFE" w:rsidRDefault="009B5BFE"/>
          <w:p w14:paraId="0A4B7728" w14:textId="77777777" w:rsidR="009B5BFE" w:rsidRDefault="009B5BFE"/>
          <w:p w14:paraId="5B013EB1" w14:textId="77777777" w:rsidR="009B5BFE" w:rsidRDefault="009B5BFE"/>
          <w:p w14:paraId="62486C05" w14:textId="705BBCC8" w:rsidR="009B5BFE" w:rsidRDefault="009B5BFE">
            <w:r>
              <w:t>E</w:t>
            </w:r>
          </w:p>
        </w:tc>
        <w:tc>
          <w:tcPr>
            <w:tcW w:w="1559" w:type="dxa"/>
          </w:tcPr>
          <w:p w14:paraId="4101652C" w14:textId="77777777" w:rsidR="00E93725" w:rsidRDefault="00E93725"/>
        </w:tc>
      </w:tr>
      <w:tr w:rsidR="003A78C6" w14:paraId="1A8AB9FE" w14:textId="77777777" w:rsidTr="00E559FD">
        <w:tc>
          <w:tcPr>
            <w:tcW w:w="2127" w:type="dxa"/>
          </w:tcPr>
          <w:p w14:paraId="4B99056E" w14:textId="77777777" w:rsidR="003A78C6" w:rsidRDefault="003A78C6" w:rsidP="007934DB"/>
          <w:p w14:paraId="66C46128" w14:textId="77777777" w:rsidR="003A78C6" w:rsidRDefault="003A78C6" w:rsidP="003A78C6">
            <w:r>
              <w:t>Behaviours</w:t>
            </w:r>
          </w:p>
          <w:p w14:paraId="1299C43A" w14:textId="77777777" w:rsidR="003A78C6" w:rsidRDefault="003A78C6" w:rsidP="003A78C6">
            <w:pPr>
              <w:rPr>
                <w:b/>
                <w:i/>
                <w:highlight w:val="yellow"/>
              </w:rPr>
            </w:pPr>
          </w:p>
          <w:p w14:paraId="4DDBEF00" w14:textId="77777777" w:rsidR="003A78C6" w:rsidRDefault="003A78C6" w:rsidP="003A78C6">
            <w:pPr>
              <w:rPr>
                <w:b/>
                <w:i/>
              </w:rPr>
            </w:pPr>
          </w:p>
          <w:p w14:paraId="3461D779" w14:textId="77777777" w:rsidR="003A78C6" w:rsidRDefault="003A78C6" w:rsidP="00B725C8"/>
        </w:tc>
        <w:tc>
          <w:tcPr>
            <w:tcW w:w="5670" w:type="dxa"/>
          </w:tcPr>
          <w:p w14:paraId="0E9F90A0" w14:textId="77777777" w:rsidR="003A78C6" w:rsidRPr="00DE2C1A" w:rsidRDefault="003A78C6" w:rsidP="003A78C6">
            <w:pPr>
              <w:rPr>
                <w:rFonts w:cs="Arial"/>
                <w:iCs/>
                <w:szCs w:val="24"/>
              </w:rPr>
            </w:pPr>
            <w:r w:rsidRPr="00DE2C1A">
              <w:rPr>
                <w:b/>
                <w:iCs/>
              </w:rPr>
              <w:t>Driving Positive Change</w:t>
            </w:r>
            <w:r w:rsidR="00427B68" w:rsidRPr="00DE2C1A">
              <w:rPr>
                <w:b/>
                <w:iCs/>
              </w:rPr>
              <w:t xml:space="preserve"> -</w:t>
            </w:r>
            <w:r w:rsidRPr="00DE2C1A">
              <w:rPr>
                <w:b/>
                <w:iCs/>
              </w:rPr>
              <w:t xml:space="preserve"> </w:t>
            </w:r>
            <w:r w:rsidRPr="00DE2C1A">
              <w:rPr>
                <w:rFonts w:cs="Arial"/>
                <w:iCs/>
                <w:szCs w:val="24"/>
              </w:rPr>
              <w:t>has a future focused approach that can easily respond to different and changing demands. Possesses a positive attitude so that they may adapt to the pace of change. Embraces new technologies and new ideas.</w:t>
            </w:r>
          </w:p>
          <w:p w14:paraId="6AB19D34" w14:textId="77777777" w:rsidR="003A78C6" w:rsidRDefault="003A78C6" w:rsidP="003A78C6">
            <w:pPr>
              <w:rPr>
                <w:rFonts w:cs="Arial"/>
                <w:szCs w:val="24"/>
              </w:rPr>
            </w:pPr>
            <w:r w:rsidRPr="00DE2C1A">
              <w:rPr>
                <w:rFonts w:cs="Arial"/>
                <w:b/>
                <w:iCs/>
                <w:szCs w:val="24"/>
              </w:rPr>
              <w:t>Trust and Respect</w:t>
            </w:r>
            <w:r w:rsidR="00427B68" w:rsidRPr="00DE2C1A">
              <w:rPr>
                <w:rFonts w:cs="Arial"/>
                <w:b/>
                <w:iCs/>
                <w:szCs w:val="24"/>
              </w:rPr>
              <w:t xml:space="preserve"> -</w:t>
            </w:r>
            <w:r w:rsidR="00427B68">
              <w:rPr>
                <w:rFonts w:cs="Arial"/>
                <w:b/>
                <w:i/>
                <w:szCs w:val="24"/>
              </w:rPr>
              <w:t xml:space="preserve"> </w:t>
            </w:r>
            <w:r>
              <w:rPr>
                <w:rFonts w:cs="Arial"/>
                <w:b/>
                <w:i/>
                <w:szCs w:val="24"/>
              </w:rPr>
              <w:t xml:space="preserve"> </w:t>
            </w:r>
            <w:r w:rsidRPr="00772151">
              <w:rPr>
                <w:rFonts w:cs="Arial"/>
                <w:szCs w:val="24"/>
              </w:rPr>
              <w:t>create</w:t>
            </w:r>
            <w:r>
              <w:rPr>
                <w:rFonts w:cs="Arial"/>
                <w:szCs w:val="24"/>
              </w:rPr>
              <w:t>s</w:t>
            </w:r>
            <w:r w:rsidRPr="00772151">
              <w:rPr>
                <w:rFonts w:cs="Arial"/>
                <w:szCs w:val="24"/>
              </w:rPr>
              <w:t xml:space="preserve"> mutual trust and remove barriers to help develop a highly collaborative and respectful team. </w:t>
            </w:r>
            <w:r>
              <w:rPr>
                <w:rFonts w:cs="Arial"/>
                <w:szCs w:val="24"/>
              </w:rPr>
              <w:t>V</w:t>
            </w:r>
            <w:r w:rsidRPr="00772151">
              <w:rPr>
                <w:rFonts w:cs="Arial"/>
                <w:szCs w:val="24"/>
              </w:rPr>
              <w:t>alue</w:t>
            </w:r>
            <w:r>
              <w:rPr>
                <w:rFonts w:cs="Arial"/>
                <w:szCs w:val="24"/>
              </w:rPr>
              <w:t>s</w:t>
            </w:r>
            <w:r w:rsidRPr="00772151">
              <w:rPr>
                <w:rFonts w:cs="Arial"/>
                <w:szCs w:val="24"/>
              </w:rPr>
              <w:t xml:space="preserve"> feedback and respectfully listen</w:t>
            </w:r>
            <w:r>
              <w:rPr>
                <w:rFonts w:cs="Arial"/>
                <w:szCs w:val="24"/>
              </w:rPr>
              <w:t>s</w:t>
            </w:r>
            <w:r w:rsidRPr="00772151">
              <w:rPr>
                <w:rFonts w:cs="Arial"/>
                <w:szCs w:val="24"/>
              </w:rPr>
              <w:t xml:space="preserve"> to other people’s opinions.</w:t>
            </w:r>
          </w:p>
          <w:p w14:paraId="4006E2D2" w14:textId="77777777" w:rsidR="003A78C6" w:rsidRDefault="003A78C6" w:rsidP="003A78C6">
            <w:pPr>
              <w:rPr>
                <w:rFonts w:cs="Arial"/>
                <w:szCs w:val="24"/>
              </w:rPr>
            </w:pPr>
            <w:r w:rsidRPr="003A78C6">
              <w:rPr>
                <w:rFonts w:cs="Arial"/>
                <w:b/>
                <w:szCs w:val="24"/>
              </w:rPr>
              <w:t>Strong Leadership</w:t>
            </w:r>
            <w:r>
              <w:rPr>
                <w:rFonts w:cs="Arial"/>
                <w:szCs w:val="24"/>
              </w:rPr>
              <w:t xml:space="preserve"> </w:t>
            </w:r>
            <w:r w:rsidR="00904D84">
              <w:rPr>
                <w:rFonts w:cs="Arial"/>
                <w:szCs w:val="24"/>
              </w:rPr>
              <w:t>-</w:t>
            </w:r>
            <w:r>
              <w:rPr>
                <w:rFonts w:cs="Arial"/>
                <w:szCs w:val="24"/>
              </w:rPr>
              <w:t xml:space="preserve"> L</w:t>
            </w:r>
            <w:r w:rsidRPr="00772151">
              <w:rPr>
                <w:rFonts w:cs="Arial"/>
                <w:szCs w:val="24"/>
              </w:rPr>
              <w:t>ead</w:t>
            </w:r>
            <w:r>
              <w:rPr>
                <w:rFonts w:cs="Arial"/>
                <w:szCs w:val="24"/>
              </w:rPr>
              <w:t>s</w:t>
            </w:r>
            <w:r w:rsidRPr="00772151">
              <w:rPr>
                <w:rFonts w:cs="Arial"/>
                <w:szCs w:val="24"/>
              </w:rPr>
              <w:t xml:space="preserve"> by example, and through their behaviours and positive</w:t>
            </w:r>
            <w:r>
              <w:rPr>
                <w:rFonts w:cs="Arial"/>
                <w:szCs w:val="24"/>
              </w:rPr>
              <w:t xml:space="preserve"> professional approach to work. E</w:t>
            </w:r>
            <w:r w:rsidRPr="00772151">
              <w:rPr>
                <w:rFonts w:cs="Arial"/>
                <w:szCs w:val="24"/>
              </w:rPr>
              <w:t>ncourage</w:t>
            </w:r>
            <w:r>
              <w:rPr>
                <w:rFonts w:cs="Arial"/>
                <w:szCs w:val="24"/>
              </w:rPr>
              <w:t>s</w:t>
            </w:r>
            <w:r w:rsidRPr="00772151">
              <w:rPr>
                <w:rFonts w:cs="Arial"/>
                <w:szCs w:val="24"/>
              </w:rPr>
              <w:t xml:space="preserve"> team motivation </w:t>
            </w:r>
            <w:r w:rsidRPr="00772151">
              <w:rPr>
                <w:rFonts w:cs="Arial"/>
                <w:szCs w:val="24"/>
              </w:rPr>
              <w:lastRenderedPageBreak/>
              <w:t>and achievements. They actively challenge bad behaviour, respect other people’s views, and are o</w:t>
            </w:r>
            <w:r>
              <w:rPr>
                <w:rFonts w:cs="Arial"/>
                <w:szCs w:val="24"/>
              </w:rPr>
              <w:t>pen, transparent and supportive.</w:t>
            </w:r>
          </w:p>
          <w:p w14:paraId="2166B11D" w14:textId="77777777" w:rsidR="003A78C6" w:rsidRPr="00772151" w:rsidRDefault="003A78C6" w:rsidP="003A78C6">
            <w:pPr>
              <w:rPr>
                <w:rFonts w:cs="Arial"/>
                <w:szCs w:val="24"/>
              </w:rPr>
            </w:pPr>
            <w:r w:rsidRPr="00427B68">
              <w:rPr>
                <w:rFonts w:cs="Arial"/>
                <w:b/>
                <w:szCs w:val="24"/>
              </w:rPr>
              <w:t>Acting with int</w:t>
            </w:r>
            <w:r w:rsidR="00427B68" w:rsidRPr="00427B68">
              <w:rPr>
                <w:rFonts w:cs="Arial"/>
                <w:b/>
                <w:szCs w:val="24"/>
              </w:rPr>
              <w:t>egrity and behaving responsibly</w:t>
            </w:r>
            <w:r w:rsidR="00427B68">
              <w:rPr>
                <w:rFonts w:cs="Arial"/>
                <w:b/>
                <w:szCs w:val="24"/>
              </w:rPr>
              <w:t xml:space="preserve"> -</w:t>
            </w:r>
            <w:r w:rsidR="00427B68">
              <w:rPr>
                <w:rFonts w:cs="Arial"/>
                <w:szCs w:val="24"/>
              </w:rPr>
              <w:t xml:space="preserve"> </w:t>
            </w:r>
            <w:r w:rsidR="00427B68" w:rsidRPr="00772151">
              <w:rPr>
                <w:rFonts w:cs="Arial"/>
                <w:szCs w:val="24"/>
              </w:rPr>
              <w:t>Tak</w:t>
            </w:r>
            <w:r w:rsidR="00427B68">
              <w:rPr>
                <w:rFonts w:cs="Arial"/>
                <w:szCs w:val="24"/>
              </w:rPr>
              <w:t>es</w:t>
            </w:r>
            <w:r w:rsidRPr="00772151">
              <w:rPr>
                <w:rFonts w:cs="Arial"/>
                <w:szCs w:val="24"/>
              </w:rPr>
              <w:t xml:space="preserve"> ownership of their work, responsibility for the</w:t>
            </w:r>
            <w:r w:rsidR="00427B68">
              <w:rPr>
                <w:rFonts w:cs="Arial"/>
                <w:szCs w:val="24"/>
              </w:rPr>
              <w:t xml:space="preserve">ir actions and decisions and </w:t>
            </w:r>
            <w:r w:rsidRPr="00772151">
              <w:rPr>
                <w:rFonts w:cs="Arial"/>
                <w:szCs w:val="24"/>
              </w:rPr>
              <w:t xml:space="preserve">accountable for their performance and development. </w:t>
            </w:r>
          </w:p>
          <w:p w14:paraId="5913B4EF" w14:textId="77777777" w:rsidR="003A78C6" w:rsidRPr="00772151" w:rsidRDefault="003A78C6" w:rsidP="003A78C6">
            <w:pPr>
              <w:rPr>
                <w:rFonts w:cs="Arial"/>
                <w:szCs w:val="24"/>
              </w:rPr>
            </w:pPr>
            <w:r w:rsidRPr="00772151">
              <w:rPr>
                <w:rFonts w:cs="Arial"/>
                <w:szCs w:val="24"/>
              </w:rPr>
              <w:t xml:space="preserve">Acting with integrity and behaving responsibly is key to ensure the Council and its </w:t>
            </w:r>
            <w:r w:rsidR="00427B68">
              <w:rPr>
                <w:rFonts w:cs="Arial"/>
                <w:szCs w:val="24"/>
              </w:rPr>
              <w:t>employees achieving</w:t>
            </w:r>
            <w:r w:rsidRPr="00772151">
              <w:rPr>
                <w:rFonts w:cs="Arial"/>
                <w:szCs w:val="24"/>
              </w:rPr>
              <w:t xml:space="preserve"> an excellent reputation with residents, partners and businesses.</w:t>
            </w:r>
          </w:p>
          <w:p w14:paraId="1910516E" w14:textId="77777777" w:rsidR="00427B68" w:rsidRPr="00772151" w:rsidRDefault="00427B68" w:rsidP="00427B68">
            <w:pPr>
              <w:rPr>
                <w:rFonts w:cs="Arial"/>
                <w:szCs w:val="24"/>
              </w:rPr>
            </w:pPr>
            <w:r w:rsidRPr="00427B68">
              <w:rPr>
                <w:rFonts w:cs="Arial"/>
                <w:b/>
                <w:szCs w:val="24"/>
              </w:rPr>
              <w:t>Building relationships to work well together</w:t>
            </w:r>
            <w:r>
              <w:rPr>
                <w:rFonts w:cs="Arial"/>
                <w:szCs w:val="24"/>
              </w:rPr>
              <w:t xml:space="preserve"> - W</w:t>
            </w:r>
            <w:r w:rsidRPr="00772151">
              <w:rPr>
                <w:rFonts w:cs="Arial"/>
                <w:szCs w:val="24"/>
              </w:rPr>
              <w:t>ork</w:t>
            </w:r>
            <w:r w:rsidR="009E32AC">
              <w:rPr>
                <w:rFonts w:cs="Arial"/>
                <w:szCs w:val="24"/>
              </w:rPr>
              <w:t>s</w:t>
            </w:r>
            <w:r w:rsidRPr="00772151">
              <w:rPr>
                <w:rFonts w:cs="Arial"/>
                <w:szCs w:val="24"/>
              </w:rPr>
              <w:t xml:space="preserve"> to reach common goals; sharing information, supporting colleagues, welcoming feedback, building good relationships and partnerships to improve productivity and effectiveness. </w:t>
            </w:r>
            <w:r>
              <w:rPr>
                <w:rFonts w:cs="Arial"/>
                <w:szCs w:val="24"/>
              </w:rPr>
              <w:t>Applies</w:t>
            </w:r>
            <w:r w:rsidRPr="00772151">
              <w:rPr>
                <w:rFonts w:cs="Arial"/>
                <w:szCs w:val="24"/>
              </w:rPr>
              <w:t xml:space="preserve"> an inclusive approach to staff, customers, residents and the community as a whole to deliver efficient and effective services</w:t>
            </w:r>
          </w:p>
          <w:p w14:paraId="1FC39945" w14:textId="77777777" w:rsidR="003A78C6" w:rsidRPr="002064D4" w:rsidRDefault="003A78C6">
            <w:pPr>
              <w:rPr>
                <w:i/>
              </w:rPr>
            </w:pPr>
          </w:p>
        </w:tc>
        <w:tc>
          <w:tcPr>
            <w:tcW w:w="1134" w:type="dxa"/>
          </w:tcPr>
          <w:p w14:paraId="65AEDD99" w14:textId="77777777" w:rsidR="003A78C6" w:rsidRDefault="003A78C6">
            <w:r>
              <w:lastRenderedPageBreak/>
              <w:t>E</w:t>
            </w:r>
          </w:p>
          <w:p w14:paraId="0562CB0E" w14:textId="77777777" w:rsidR="003A78C6" w:rsidRDefault="003A78C6"/>
          <w:p w14:paraId="34CE0A41" w14:textId="77777777" w:rsidR="003A78C6" w:rsidRDefault="003A78C6"/>
          <w:p w14:paraId="62EBF3C5" w14:textId="77777777" w:rsidR="003A78C6" w:rsidRDefault="003A78C6"/>
          <w:p w14:paraId="6D98A12B" w14:textId="77777777" w:rsidR="003A78C6" w:rsidRDefault="003A78C6"/>
          <w:p w14:paraId="2946DB82" w14:textId="77777777" w:rsidR="003A78C6" w:rsidRDefault="003A78C6"/>
          <w:p w14:paraId="33B80983" w14:textId="77777777" w:rsidR="003A78C6" w:rsidRDefault="003A78C6">
            <w:r>
              <w:t>E</w:t>
            </w:r>
          </w:p>
          <w:p w14:paraId="5997CC1D" w14:textId="77777777" w:rsidR="003A78C6" w:rsidRDefault="003A78C6"/>
          <w:p w14:paraId="110FFD37" w14:textId="77777777" w:rsidR="003A78C6" w:rsidRDefault="003A78C6"/>
          <w:p w14:paraId="6B699379" w14:textId="77777777" w:rsidR="003A78C6" w:rsidRDefault="003A78C6"/>
          <w:p w14:paraId="3FE9F23F" w14:textId="77777777" w:rsidR="003A78C6" w:rsidRDefault="003A78C6"/>
          <w:p w14:paraId="061D6CA7" w14:textId="77777777" w:rsidR="003A78C6" w:rsidRDefault="003A78C6">
            <w:r>
              <w:t>E</w:t>
            </w:r>
          </w:p>
          <w:p w14:paraId="61CDCEAD" w14:textId="77777777" w:rsidR="00427B68" w:rsidRDefault="00427B68"/>
          <w:p w14:paraId="23706029" w14:textId="77777777" w:rsidR="00667993" w:rsidRDefault="00667993"/>
          <w:p w14:paraId="6BB9E253" w14:textId="77777777" w:rsidR="00427B68" w:rsidRDefault="00427B68"/>
          <w:p w14:paraId="3D6DC322" w14:textId="77777777" w:rsidR="00427B68" w:rsidRDefault="00427B68">
            <w:r>
              <w:t>E</w:t>
            </w:r>
          </w:p>
          <w:p w14:paraId="07459315" w14:textId="77777777" w:rsidR="00427B68" w:rsidRDefault="00427B68"/>
          <w:p w14:paraId="6537F28F" w14:textId="77777777" w:rsidR="00427B68" w:rsidRDefault="00427B68"/>
          <w:p w14:paraId="6DFB9E20" w14:textId="77777777" w:rsidR="00427B68" w:rsidRDefault="00427B68"/>
          <w:p w14:paraId="44E871BC" w14:textId="77777777" w:rsidR="00427B68" w:rsidRDefault="00427B68"/>
          <w:p w14:paraId="144A5D23" w14:textId="77777777" w:rsidR="00427B68" w:rsidRDefault="00427B68"/>
          <w:p w14:paraId="738610EB" w14:textId="77777777" w:rsidR="00427B68" w:rsidRDefault="00427B68"/>
          <w:p w14:paraId="637805D2" w14:textId="77777777" w:rsidR="00427B68" w:rsidRDefault="00427B68"/>
          <w:p w14:paraId="21402596" w14:textId="77777777" w:rsidR="00427B68" w:rsidRDefault="00427B68">
            <w:r>
              <w:t>E</w:t>
            </w:r>
          </w:p>
        </w:tc>
        <w:tc>
          <w:tcPr>
            <w:tcW w:w="1559" w:type="dxa"/>
          </w:tcPr>
          <w:p w14:paraId="3B7B4B86" w14:textId="77777777" w:rsidR="003A78C6" w:rsidRDefault="003A78C6"/>
        </w:tc>
      </w:tr>
      <w:tr w:rsidR="00E93725" w14:paraId="46A763E9" w14:textId="77777777" w:rsidTr="00E559FD">
        <w:tc>
          <w:tcPr>
            <w:tcW w:w="2127" w:type="dxa"/>
          </w:tcPr>
          <w:p w14:paraId="630E149F" w14:textId="77777777" w:rsidR="00E93725" w:rsidRDefault="00E93725" w:rsidP="007934DB">
            <w:r>
              <w:t>Additional Information for example physical skills or working environment</w:t>
            </w:r>
          </w:p>
        </w:tc>
        <w:tc>
          <w:tcPr>
            <w:tcW w:w="5670" w:type="dxa"/>
          </w:tcPr>
          <w:p w14:paraId="42F9CA58" w14:textId="5F94D2B0" w:rsidR="005C5601" w:rsidRDefault="00A32FA2">
            <w:pPr>
              <w:rPr>
                <w:rFonts w:cs="Arial"/>
                <w:iCs/>
                <w:color w:val="222222"/>
                <w:szCs w:val="24"/>
              </w:rPr>
            </w:pPr>
            <w:r w:rsidRPr="00A32FA2">
              <w:rPr>
                <w:rFonts w:cs="Arial"/>
                <w:iCs/>
                <w:color w:val="222222"/>
                <w:szCs w:val="24"/>
              </w:rPr>
              <w:t>May be required to join on call arrangements relating to Public Health Emergencies or Outbreak of infectio</w:t>
            </w:r>
            <w:r w:rsidR="00DE2C1A">
              <w:rPr>
                <w:rFonts w:cs="Arial"/>
                <w:iCs/>
                <w:color w:val="222222"/>
                <w:szCs w:val="24"/>
              </w:rPr>
              <w:t>u</w:t>
            </w:r>
            <w:r w:rsidRPr="00A32FA2">
              <w:rPr>
                <w:rFonts w:cs="Arial"/>
                <w:iCs/>
                <w:color w:val="222222"/>
                <w:szCs w:val="24"/>
              </w:rPr>
              <w:t>s diseases</w:t>
            </w:r>
            <w:r w:rsidR="00B11C1B">
              <w:rPr>
                <w:rFonts w:cs="Arial"/>
                <w:iCs/>
                <w:color w:val="222222"/>
                <w:szCs w:val="24"/>
              </w:rPr>
              <w:t>.</w:t>
            </w:r>
          </w:p>
          <w:p w14:paraId="6386DDAE" w14:textId="77777777" w:rsidR="00B11C1B" w:rsidRDefault="00B11C1B">
            <w:pPr>
              <w:rPr>
                <w:rFonts w:cs="Arial"/>
                <w:iCs/>
                <w:color w:val="222222"/>
                <w:szCs w:val="24"/>
              </w:rPr>
            </w:pPr>
          </w:p>
          <w:p w14:paraId="3E0CB44E" w14:textId="77777777" w:rsidR="00B11C1B" w:rsidRPr="00B11C1B" w:rsidRDefault="00B11C1B" w:rsidP="00B11C1B">
            <w:pPr>
              <w:rPr>
                <w:rFonts w:cs="Arial"/>
                <w:iCs/>
                <w:color w:val="222222"/>
                <w:szCs w:val="24"/>
              </w:rPr>
            </w:pPr>
            <w:r w:rsidRPr="00B11C1B">
              <w:rPr>
                <w:rFonts w:cs="Arial"/>
                <w:iCs/>
                <w:color w:val="222222"/>
                <w:szCs w:val="24"/>
              </w:rPr>
              <w:t>The postholder may be required to drive across the City and will require the use of their own vehicle in some instances.</w:t>
            </w:r>
          </w:p>
          <w:p w14:paraId="4E88AFC4" w14:textId="77777777" w:rsidR="00E93725" w:rsidRDefault="00E93725"/>
          <w:p w14:paraId="2A4E77AD" w14:textId="73A0F82C" w:rsidR="00E11D7B" w:rsidRDefault="00E11D7B">
            <w:r w:rsidRPr="00E11D7B">
              <w:t>This is a hybrid role and will require the post holder to work at least two days per week, on average, in the office. </w:t>
            </w:r>
          </w:p>
        </w:tc>
        <w:tc>
          <w:tcPr>
            <w:tcW w:w="1134" w:type="dxa"/>
          </w:tcPr>
          <w:p w14:paraId="61829076" w14:textId="67702B67" w:rsidR="00E93725" w:rsidRDefault="00E93725"/>
        </w:tc>
        <w:tc>
          <w:tcPr>
            <w:tcW w:w="1559" w:type="dxa"/>
          </w:tcPr>
          <w:p w14:paraId="2BA226A1" w14:textId="77777777" w:rsidR="00E93725" w:rsidRDefault="00E93725"/>
        </w:tc>
      </w:tr>
    </w:tbl>
    <w:p w14:paraId="17AD93B2" w14:textId="77777777" w:rsidR="00AC7D9B" w:rsidRDefault="00AC7D9B" w:rsidP="00F106EC">
      <w:pPr>
        <w:pStyle w:val="BodyText"/>
        <w:ind w:left="-1276"/>
        <w:jc w:val="left"/>
        <w:rPr>
          <w:rFonts w:ascii="Arial" w:hAnsi="Arial" w:cs="Arial"/>
        </w:rPr>
      </w:pPr>
    </w:p>
    <w:p w14:paraId="1776877A" w14:textId="77777777" w:rsidR="00815A3D" w:rsidRDefault="00815A3D">
      <w:pPr>
        <w:rPr>
          <w:rFonts w:cs="Arial"/>
          <w:b/>
          <w:sz w:val="28"/>
        </w:rPr>
      </w:pPr>
      <w:r>
        <w:rPr>
          <w:rFonts w:cs="Arial"/>
        </w:rPr>
        <w:br w:type="page"/>
      </w:r>
    </w:p>
    <w:p w14:paraId="1F1AC1EF" w14:textId="111B78DE" w:rsidR="00AE4B96" w:rsidRDefault="00AE4B96" w:rsidP="00517469">
      <w:pPr>
        <w:pStyle w:val="BodyText"/>
        <w:ind w:left="-1276" w:firstLine="1276"/>
        <w:jc w:val="left"/>
        <w:rPr>
          <w:rFonts w:ascii="Arial" w:hAnsi="Arial" w:cs="Arial"/>
        </w:rPr>
      </w:pPr>
      <w:r>
        <w:rPr>
          <w:rFonts w:ascii="Arial" w:hAnsi="Arial" w:cs="Arial"/>
        </w:rPr>
        <w:lastRenderedPageBreak/>
        <w:t>Appendix</w:t>
      </w:r>
      <w:r w:rsidR="00EF0424">
        <w:rPr>
          <w:rFonts w:ascii="Arial" w:hAnsi="Arial" w:cs="Arial"/>
        </w:rPr>
        <w:t xml:space="preserve"> 1</w:t>
      </w:r>
    </w:p>
    <w:p w14:paraId="5D9AA3F1" w14:textId="77777777" w:rsidR="00AE4B96" w:rsidRDefault="00AE4B96" w:rsidP="00517469">
      <w:pPr>
        <w:pStyle w:val="BodyText"/>
        <w:ind w:left="-1276" w:firstLine="1276"/>
        <w:jc w:val="left"/>
        <w:rPr>
          <w:rFonts w:ascii="Arial" w:hAnsi="Arial" w:cs="Arial"/>
        </w:rPr>
      </w:pPr>
    </w:p>
    <w:p w14:paraId="79438341" w14:textId="77777777" w:rsidR="00F86A8A" w:rsidRPr="00F86A8A" w:rsidRDefault="00F86A8A" w:rsidP="00F86A8A">
      <w:pPr>
        <w:rPr>
          <w:rFonts w:cs="Arial"/>
          <w:b/>
          <w:bCs/>
          <w:sz w:val="22"/>
          <w:szCs w:val="22"/>
        </w:rPr>
      </w:pPr>
      <w:r w:rsidRPr="00F86A8A">
        <w:rPr>
          <w:rFonts w:cs="Arial"/>
          <w:b/>
          <w:bCs/>
          <w:sz w:val="22"/>
          <w:szCs w:val="22"/>
        </w:rPr>
        <w:t xml:space="preserve">Professional Status of Consultants </w:t>
      </w:r>
    </w:p>
    <w:p w14:paraId="2E0F4827" w14:textId="77777777" w:rsidR="00F86A8A" w:rsidRPr="00F86A8A" w:rsidRDefault="00F86A8A" w:rsidP="00F86A8A">
      <w:pPr>
        <w:rPr>
          <w:rFonts w:cs="Arial"/>
          <w:sz w:val="22"/>
          <w:szCs w:val="22"/>
        </w:rPr>
      </w:pPr>
      <w:r w:rsidRPr="00F86A8A">
        <w:rPr>
          <w:rFonts w:cs="Arial"/>
          <w:sz w:val="22"/>
          <w:szCs w:val="22"/>
        </w:rPr>
        <w:t>Public health consultants work as system leaders at strategic or senior management level or at a senior level of expertise such as epidemiology or health protection. The combination of leadership and managerial skills together with high level of technical skills and knowledge gives them a unique skill set essential for improving the health and wellbeing of populations.</w:t>
      </w:r>
    </w:p>
    <w:p w14:paraId="1B4FDD9B" w14:textId="77777777" w:rsidR="00F86A8A" w:rsidRPr="00F86A8A" w:rsidRDefault="00F86A8A" w:rsidP="00F86A8A">
      <w:pPr>
        <w:rPr>
          <w:rFonts w:cs="Arial"/>
          <w:sz w:val="22"/>
          <w:szCs w:val="22"/>
        </w:rPr>
      </w:pPr>
      <w:r w:rsidRPr="00F86A8A">
        <w:rPr>
          <w:rFonts w:cs="Arial"/>
          <w:sz w:val="22"/>
          <w:szCs w:val="22"/>
        </w:rPr>
        <w:t xml:space="preserve">They must be qualified as a public health specialist and be on the GMC, GDC or UKPHR specialist register. </w:t>
      </w:r>
    </w:p>
    <w:p w14:paraId="3FDE0466" w14:textId="61F54A30" w:rsidR="00F86A8A" w:rsidRPr="00F86A8A" w:rsidRDefault="00F86A8A" w:rsidP="00F86A8A">
      <w:pPr>
        <w:rPr>
          <w:rFonts w:cs="Arial"/>
          <w:sz w:val="22"/>
          <w:szCs w:val="22"/>
        </w:rPr>
      </w:pPr>
      <w:r w:rsidRPr="00F86A8A">
        <w:rPr>
          <w:rFonts w:cs="Arial"/>
          <w:sz w:val="22"/>
          <w:szCs w:val="22"/>
        </w:rPr>
        <w:t>Consultants have the same professional status irrespective of local line management arrangements and have experience in various areas of public health practice.</w:t>
      </w:r>
    </w:p>
    <w:p w14:paraId="2BB8A0DD" w14:textId="77777777" w:rsidR="00F86A8A" w:rsidRDefault="00F86A8A" w:rsidP="0093557F">
      <w:pPr>
        <w:rPr>
          <w:rFonts w:cs="Arial"/>
          <w:b/>
          <w:bCs/>
        </w:rPr>
      </w:pPr>
    </w:p>
    <w:p w14:paraId="6677FD0A" w14:textId="2544E19C" w:rsidR="0093557F" w:rsidRPr="000C611A" w:rsidRDefault="0093557F" w:rsidP="0093557F">
      <w:pPr>
        <w:rPr>
          <w:rFonts w:cs="Arial"/>
          <w:b/>
          <w:bCs/>
          <w:sz w:val="22"/>
          <w:szCs w:val="22"/>
        </w:rPr>
      </w:pPr>
      <w:r w:rsidRPr="0093557F">
        <w:rPr>
          <w:rFonts w:cs="Arial"/>
          <w:b/>
          <w:bCs/>
          <w:sz w:val="22"/>
          <w:szCs w:val="22"/>
        </w:rPr>
        <w:t>Work programme</w:t>
      </w:r>
    </w:p>
    <w:p w14:paraId="66ECEF09" w14:textId="77777777" w:rsidR="00D12122" w:rsidRPr="00D12122" w:rsidRDefault="00D12122" w:rsidP="00D12122">
      <w:pPr>
        <w:rPr>
          <w:rFonts w:cs="Arial"/>
          <w:sz w:val="22"/>
          <w:szCs w:val="22"/>
        </w:rPr>
      </w:pPr>
      <w:r w:rsidRPr="00D12122">
        <w:rPr>
          <w:rFonts w:cs="Arial"/>
          <w:sz w:val="22"/>
          <w:szCs w:val="22"/>
        </w:rPr>
        <w:t>Your work will focus on:</w:t>
      </w:r>
    </w:p>
    <w:p w14:paraId="2A9B18FE" w14:textId="4E57C7F6" w:rsidR="00D12122" w:rsidRPr="00D12122" w:rsidRDefault="00D12122" w:rsidP="00D12122">
      <w:pPr>
        <w:rPr>
          <w:rFonts w:cs="Arial"/>
          <w:sz w:val="22"/>
          <w:szCs w:val="22"/>
        </w:rPr>
      </w:pPr>
    </w:p>
    <w:p w14:paraId="1B1A9142" w14:textId="77777777" w:rsidR="00D12122" w:rsidRPr="00D12122" w:rsidRDefault="00D12122" w:rsidP="00D12122">
      <w:pPr>
        <w:numPr>
          <w:ilvl w:val="0"/>
          <w:numId w:val="35"/>
        </w:numPr>
        <w:rPr>
          <w:rFonts w:cs="Arial"/>
          <w:sz w:val="22"/>
          <w:szCs w:val="22"/>
        </w:rPr>
      </w:pPr>
      <w:r w:rsidRPr="00D12122">
        <w:rPr>
          <w:rFonts w:cs="Arial"/>
          <w:b/>
          <w:bCs/>
          <w:sz w:val="22"/>
          <w:szCs w:val="22"/>
        </w:rPr>
        <w:t xml:space="preserve">Driving collaborative health initiatives, </w:t>
      </w:r>
      <w:r w:rsidRPr="00D12122">
        <w:rPr>
          <w:rFonts w:cs="Arial"/>
          <w:sz w:val="22"/>
          <w:szCs w:val="22"/>
        </w:rPr>
        <w:t>such as </w:t>
      </w:r>
      <w:r w:rsidRPr="00D12122">
        <w:rPr>
          <w:rFonts w:cs="Arial"/>
          <w:i/>
          <w:iCs/>
          <w:sz w:val="22"/>
          <w:szCs w:val="22"/>
        </w:rPr>
        <w:t>Narrowing the Gap</w:t>
      </w:r>
      <w:r w:rsidRPr="00D12122">
        <w:rPr>
          <w:rFonts w:cs="Arial"/>
          <w:sz w:val="22"/>
          <w:szCs w:val="22"/>
        </w:rPr>
        <w:t>, to tackle inequalities through integrated care, lifestyle interventions and community engagement</w:t>
      </w:r>
    </w:p>
    <w:p w14:paraId="6543414E" w14:textId="77777777" w:rsidR="00D12122" w:rsidRPr="00D12122" w:rsidRDefault="00D12122" w:rsidP="00D12122">
      <w:pPr>
        <w:numPr>
          <w:ilvl w:val="0"/>
          <w:numId w:val="35"/>
        </w:numPr>
        <w:rPr>
          <w:rFonts w:cs="Arial"/>
          <w:sz w:val="22"/>
          <w:szCs w:val="22"/>
        </w:rPr>
      </w:pPr>
      <w:r w:rsidRPr="00D12122">
        <w:rPr>
          <w:rFonts w:cs="Arial"/>
          <w:b/>
          <w:bCs/>
          <w:sz w:val="22"/>
          <w:szCs w:val="22"/>
        </w:rPr>
        <w:t>Supporting children and families </w:t>
      </w:r>
      <w:r w:rsidRPr="00D12122">
        <w:rPr>
          <w:rFonts w:cs="Arial"/>
          <w:sz w:val="22"/>
          <w:szCs w:val="22"/>
        </w:rPr>
        <w:t>to thrive, through programmes like </w:t>
      </w:r>
      <w:r w:rsidRPr="00D12122">
        <w:rPr>
          <w:rFonts w:cs="Arial"/>
          <w:i/>
          <w:iCs/>
          <w:sz w:val="22"/>
          <w:szCs w:val="22"/>
        </w:rPr>
        <w:t>A Better Start</w:t>
      </w:r>
      <w:r w:rsidRPr="00D12122">
        <w:rPr>
          <w:rFonts w:cs="Arial"/>
          <w:sz w:val="22"/>
          <w:szCs w:val="22"/>
        </w:rPr>
        <w:t> and the development of integrated hubs offering holistic support</w:t>
      </w:r>
    </w:p>
    <w:p w14:paraId="602D2D3E" w14:textId="77777777" w:rsidR="00D12122" w:rsidRPr="00D12122" w:rsidRDefault="00D12122" w:rsidP="00D12122">
      <w:pPr>
        <w:numPr>
          <w:ilvl w:val="0"/>
          <w:numId w:val="35"/>
        </w:numPr>
        <w:rPr>
          <w:rFonts w:cs="Arial"/>
          <w:b/>
          <w:bCs/>
          <w:sz w:val="22"/>
          <w:szCs w:val="22"/>
        </w:rPr>
      </w:pPr>
      <w:r w:rsidRPr="00D12122">
        <w:rPr>
          <w:rFonts w:cs="Arial"/>
          <w:b/>
          <w:bCs/>
          <w:sz w:val="22"/>
          <w:szCs w:val="22"/>
        </w:rPr>
        <w:t>Promoting healthier lifestyles </w:t>
      </w:r>
      <w:r w:rsidRPr="00D12122">
        <w:rPr>
          <w:rFonts w:cs="Arial"/>
          <w:sz w:val="22"/>
          <w:szCs w:val="22"/>
        </w:rPr>
        <w:t>to reduce preventable diseases</w:t>
      </w:r>
    </w:p>
    <w:p w14:paraId="402D908B" w14:textId="77777777" w:rsidR="00D12122" w:rsidRPr="00D12122" w:rsidRDefault="00D12122" w:rsidP="00D12122">
      <w:pPr>
        <w:numPr>
          <w:ilvl w:val="0"/>
          <w:numId w:val="35"/>
        </w:numPr>
        <w:rPr>
          <w:rFonts w:cs="Arial"/>
          <w:b/>
          <w:bCs/>
          <w:sz w:val="22"/>
          <w:szCs w:val="22"/>
        </w:rPr>
      </w:pPr>
      <w:r w:rsidRPr="00D12122">
        <w:rPr>
          <w:rFonts w:cs="Arial"/>
          <w:b/>
          <w:bCs/>
          <w:sz w:val="22"/>
          <w:szCs w:val="22"/>
        </w:rPr>
        <w:t>Improving mental health and emotional wellbeing </w:t>
      </w:r>
      <w:r w:rsidRPr="00D12122">
        <w:rPr>
          <w:rFonts w:cs="Arial"/>
          <w:sz w:val="22"/>
          <w:szCs w:val="22"/>
        </w:rPr>
        <w:t>across all age groups</w:t>
      </w:r>
    </w:p>
    <w:p w14:paraId="2F0F095A" w14:textId="77777777" w:rsidR="00D12122" w:rsidRPr="00D12122" w:rsidRDefault="00D12122" w:rsidP="00D12122">
      <w:pPr>
        <w:numPr>
          <w:ilvl w:val="0"/>
          <w:numId w:val="35"/>
        </w:numPr>
        <w:rPr>
          <w:rFonts w:cs="Arial"/>
          <w:sz w:val="22"/>
          <w:szCs w:val="22"/>
        </w:rPr>
      </w:pPr>
      <w:r w:rsidRPr="00D12122">
        <w:rPr>
          <w:rFonts w:cs="Arial"/>
          <w:b/>
          <w:bCs/>
          <w:sz w:val="22"/>
          <w:szCs w:val="22"/>
        </w:rPr>
        <w:t xml:space="preserve">Addressing wider determinants of health, </w:t>
      </w:r>
      <w:r w:rsidRPr="00D12122">
        <w:rPr>
          <w:rFonts w:cs="Arial"/>
          <w:sz w:val="22"/>
          <w:szCs w:val="22"/>
        </w:rPr>
        <w:t>including education, housing, employment and income</w:t>
      </w:r>
    </w:p>
    <w:p w14:paraId="6EE687E7" w14:textId="77777777" w:rsidR="00D12122" w:rsidRPr="00D12122" w:rsidRDefault="00D12122" w:rsidP="00D12122">
      <w:pPr>
        <w:numPr>
          <w:ilvl w:val="0"/>
          <w:numId w:val="35"/>
        </w:numPr>
        <w:rPr>
          <w:rFonts w:cs="Arial"/>
          <w:sz w:val="22"/>
          <w:szCs w:val="22"/>
        </w:rPr>
      </w:pPr>
      <w:r w:rsidRPr="00D12122">
        <w:rPr>
          <w:rFonts w:cs="Arial"/>
          <w:b/>
          <w:bCs/>
          <w:sz w:val="22"/>
          <w:szCs w:val="22"/>
        </w:rPr>
        <w:t>Designing inclusive and accessible services </w:t>
      </w:r>
      <w:r w:rsidRPr="00D12122">
        <w:rPr>
          <w:rFonts w:cs="Arial"/>
          <w:sz w:val="22"/>
          <w:szCs w:val="22"/>
        </w:rPr>
        <w:t>that meet the needs of all residents</w:t>
      </w:r>
    </w:p>
    <w:p w14:paraId="1CF88A54" w14:textId="77777777" w:rsidR="00D12122" w:rsidRPr="00D12122" w:rsidRDefault="00D12122" w:rsidP="00D12122">
      <w:pPr>
        <w:numPr>
          <w:ilvl w:val="0"/>
          <w:numId w:val="35"/>
        </w:numPr>
        <w:rPr>
          <w:rFonts w:cs="Arial"/>
          <w:sz w:val="22"/>
          <w:szCs w:val="22"/>
        </w:rPr>
      </w:pPr>
      <w:r w:rsidRPr="00D12122">
        <w:rPr>
          <w:rFonts w:cs="Arial"/>
          <w:b/>
          <w:bCs/>
          <w:sz w:val="22"/>
          <w:szCs w:val="22"/>
        </w:rPr>
        <w:t>Championing prevention</w:t>
      </w:r>
      <w:r w:rsidRPr="00D12122">
        <w:rPr>
          <w:rFonts w:cs="Arial"/>
          <w:sz w:val="22"/>
          <w:szCs w:val="22"/>
        </w:rPr>
        <w:t>, including immunisation and smoking cessation programmes</w:t>
      </w:r>
    </w:p>
    <w:p w14:paraId="538D3478" w14:textId="77777777" w:rsidR="00516D01" w:rsidRPr="000C611A" w:rsidRDefault="00516D01" w:rsidP="0093557F">
      <w:pPr>
        <w:rPr>
          <w:rFonts w:cs="Arial"/>
          <w:b/>
          <w:bCs/>
          <w:sz w:val="22"/>
          <w:szCs w:val="22"/>
        </w:rPr>
      </w:pPr>
    </w:p>
    <w:p w14:paraId="618605FC" w14:textId="74DECC5B" w:rsidR="00D12122" w:rsidRPr="000C611A" w:rsidRDefault="00346590" w:rsidP="001A65ED">
      <w:pPr>
        <w:rPr>
          <w:rFonts w:cs="Arial"/>
          <w:sz w:val="22"/>
          <w:szCs w:val="22"/>
        </w:rPr>
      </w:pPr>
      <w:r w:rsidRPr="000C611A">
        <w:rPr>
          <w:rFonts w:cs="Arial"/>
          <w:sz w:val="22"/>
          <w:szCs w:val="22"/>
        </w:rPr>
        <w:t xml:space="preserve">Up to eight key objectives are agreed as part of the Council’s Annual Conversation framework. </w:t>
      </w:r>
      <w:r w:rsidR="00C81700">
        <w:rPr>
          <w:rFonts w:cs="Arial"/>
          <w:sz w:val="22"/>
          <w:szCs w:val="22"/>
        </w:rPr>
        <w:t xml:space="preserve">These will be agreed within the first 3 months of your start date and reviewed annually </w:t>
      </w:r>
      <w:r w:rsidR="000A3C09">
        <w:rPr>
          <w:rFonts w:cs="Arial"/>
          <w:sz w:val="22"/>
          <w:szCs w:val="22"/>
        </w:rPr>
        <w:t>the following April.</w:t>
      </w:r>
      <w:r w:rsidR="001A65ED">
        <w:rPr>
          <w:rFonts w:cs="Arial"/>
          <w:sz w:val="22"/>
          <w:szCs w:val="22"/>
        </w:rPr>
        <w:t xml:space="preserve"> </w:t>
      </w:r>
      <w:r w:rsidR="008A4CCF">
        <w:rPr>
          <w:rFonts w:cs="Arial"/>
          <w:sz w:val="22"/>
          <w:szCs w:val="22"/>
        </w:rPr>
        <w:t>We will also agreed a set of s</w:t>
      </w:r>
      <w:r w:rsidR="001A65ED" w:rsidRPr="001A65ED">
        <w:rPr>
          <w:rFonts w:cs="Arial"/>
          <w:sz w:val="22"/>
          <w:szCs w:val="22"/>
        </w:rPr>
        <w:t>upporting professional activity i</w:t>
      </w:r>
      <w:r w:rsidR="008A4CCF">
        <w:rPr>
          <w:rFonts w:cs="Arial"/>
          <w:sz w:val="22"/>
          <w:szCs w:val="22"/>
        </w:rPr>
        <w:t>n the form of</w:t>
      </w:r>
      <w:r w:rsidR="001A65ED" w:rsidRPr="001A65ED">
        <w:rPr>
          <w:rFonts w:cs="Arial"/>
          <w:sz w:val="22"/>
          <w:szCs w:val="22"/>
        </w:rPr>
        <w:t xml:space="preserve"> CPD, appraisal, revalidation, teaching, training</w:t>
      </w:r>
      <w:r w:rsidR="008A4CCF">
        <w:rPr>
          <w:rFonts w:cs="Arial"/>
          <w:sz w:val="22"/>
          <w:szCs w:val="22"/>
        </w:rPr>
        <w:t xml:space="preserve"> and</w:t>
      </w:r>
      <w:r w:rsidR="001A65ED" w:rsidRPr="001A65ED">
        <w:rPr>
          <w:rFonts w:cs="Arial"/>
          <w:sz w:val="22"/>
          <w:szCs w:val="22"/>
        </w:rPr>
        <w:t xml:space="preserve"> quality improvement</w:t>
      </w:r>
      <w:r w:rsidR="003D6AE7">
        <w:rPr>
          <w:rFonts w:cs="Arial"/>
          <w:sz w:val="22"/>
          <w:szCs w:val="22"/>
        </w:rPr>
        <w:t>.</w:t>
      </w:r>
    </w:p>
    <w:p w14:paraId="413B80AB" w14:textId="77777777" w:rsidR="00D12122" w:rsidRPr="0093557F" w:rsidRDefault="00D12122" w:rsidP="0093557F">
      <w:pPr>
        <w:rPr>
          <w:rFonts w:cs="Arial"/>
          <w:sz w:val="22"/>
          <w:szCs w:val="22"/>
        </w:rPr>
      </w:pPr>
    </w:p>
    <w:p w14:paraId="243354E8" w14:textId="4E347E00" w:rsidR="0093557F" w:rsidRPr="00FB2E13" w:rsidRDefault="0093557F" w:rsidP="0093557F">
      <w:pPr>
        <w:rPr>
          <w:rFonts w:cs="Arial"/>
          <w:sz w:val="22"/>
          <w:szCs w:val="22"/>
        </w:rPr>
      </w:pPr>
      <w:r w:rsidRPr="0093557F">
        <w:rPr>
          <w:rFonts w:cs="Arial"/>
          <w:b/>
          <w:bCs/>
          <w:sz w:val="22"/>
          <w:szCs w:val="22"/>
        </w:rPr>
        <w:t xml:space="preserve">Wellbeing </w:t>
      </w:r>
    </w:p>
    <w:p w14:paraId="01816A53" w14:textId="6C1BF319" w:rsidR="00D64399" w:rsidRPr="00FB2E13" w:rsidRDefault="00D64399" w:rsidP="0093557F">
      <w:pPr>
        <w:rPr>
          <w:rFonts w:cs="Arial"/>
          <w:sz w:val="22"/>
          <w:szCs w:val="22"/>
        </w:rPr>
      </w:pPr>
      <w:r w:rsidRPr="00FB2E13">
        <w:rPr>
          <w:rFonts w:cs="Arial"/>
          <w:sz w:val="22"/>
          <w:szCs w:val="22"/>
        </w:rPr>
        <w:t>The Council</w:t>
      </w:r>
      <w:r w:rsidR="00817B85" w:rsidRPr="00FB2E13">
        <w:rPr>
          <w:rFonts w:cs="Arial"/>
          <w:sz w:val="22"/>
          <w:szCs w:val="22"/>
        </w:rPr>
        <w:t xml:space="preserve"> provides access to</w:t>
      </w:r>
      <w:r w:rsidRPr="00FB2E13">
        <w:rPr>
          <w:rFonts w:cs="Arial"/>
          <w:sz w:val="22"/>
          <w:szCs w:val="22"/>
        </w:rPr>
        <w:t xml:space="preserve"> occupational health support </w:t>
      </w:r>
      <w:r w:rsidR="00810347" w:rsidRPr="00FB2E13">
        <w:rPr>
          <w:rFonts w:cs="Arial"/>
          <w:sz w:val="22"/>
          <w:szCs w:val="22"/>
        </w:rPr>
        <w:t xml:space="preserve">which is </w:t>
      </w:r>
      <w:r w:rsidRPr="00FB2E13">
        <w:rPr>
          <w:rFonts w:cs="Arial"/>
          <w:sz w:val="22"/>
          <w:szCs w:val="22"/>
        </w:rPr>
        <w:t>confidential</w:t>
      </w:r>
      <w:r w:rsidR="00810347" w:rsidRPr="00FB2E13">
        <w:rPr>
          <w:rFonts w:cs="Arial"/>
          <w:sz w:val="22"/>
          <w:szCs w:val="22"/>
        </w:rPr>
        <w:t>.</w:t>
      </w:r>
      <w:r w:rsidRPr="00FB2E13">
        <w:rPr>
          <w:rFonts w:cs="Arial"/>
          <w:sz w:val="22"/>
          <w:szCs w:val="22"/>
        </w:rPr>
        <w:t xml:space="preserve"> The post holder </w:t>
      </w:r>
      <w:r w:rsidR="00810347" w:rsidRPr="00FB2E13">
        <w:rPr>
          <w:rFonts w:cs="Arial"/>
          <w:sz w:val="22"/>
          <w:szCs w:val="22"/>
        </w:rPr>
        <w:t xml:space="preserve">can directly </w:t>
      </w:r>
      <w:r w:rsidRPr="00FB2E13">
        <w:rPr>
          <w:rFonts w:cs="Arial"/>
          <w:sz w:val="22"/>
          <w:szCs w:val="22"/>
        </w:rPr>
        <w:t xml:space="preserve">access </w:t>
      </w:r>
      <w:r w:rsidR="00810347" w:rsidRPr="00FB2E13">
        <w:rPr>
          <w:rFonts w:cs="Arial"/>
          <w:sz w:val="22"/>
          <w:szCs w:val="22"/>
        </w:rPr>
        <w:t>the independent Employee Assistance Programme</w:t>
      </w:r>
      <w:r w:rsidRPr="00FB2E13">
        <w:rPr>
          <w:rFonts w:cs="Arial"/>
          <w:sz w:val="22"/>
          <w:szCs w:val="22"/>
        </w:rPr>
        <w:t>,</w:t>
      </w:r>
      <w:r w:rsidR="00482900" w:rsidRPr="00FB2E13">
        <w:rPr>
          <w:rFonts w:cs="Arial"/>
          <w:sz w:val="22"/>
          <w:szCs w:val="22"/>
        </w:rPr>
        <w:t xml:space="preserve"> as and when required.</w:t>
      </w:r>
    </w:p>
    <w:p w14:paraId="210D3B8B" w14:textId="77777777" w:rsidR="006741D8" w:rsidRPr="00FB2E13" w:rsidRDefault="006741D8" w:rsidP="0093557F">
      <w:pPr>
        <w:rPr>
          <w:rFonts w:cs="Arial"/>
          <w:sz w:val="22"/>
          <w:szCs w:val="22"/>
        </w:rPr>
      </w:pPr>
    </w:p>
    <w:p w14:paraId="30B239B8" w14:textId="72EECDE4" w:rsidR="006741D8" w:rsidRPr="00FB2E13" w:rsidRDefault="006741D8" w:rsidP="0093557F">
      <w:pPr>
        <w:rPr>
          <w:rFonts w:cs="Arial"/>
          <w:sz w:val="22"/>
          <w:szCs w:val="22"/>
        </w:rPr>
      </w:pPr>
      <w:r w:rsidRPr="00FB2E13">
        <w:rPr>
          <w:rFonts w:cs="Arial"/>
          <w:sz w:val="22"/>
          <w:szCs w:val="22"/>
        </w:rPr>
        <w:t xml:space="preserve">Other Wellbeing initiatives and resources include a number of </w:t>
      </w:r>
      <w:r w:rsidR="00C46C25" w:rsidRPr="00FB2E13">
        <w:rPr>
          <w:rFonts w:cs="Arial"/>
          <w:sz w:val="22"/>
          <w:szCs w:val="22"/>
        </w:rPr>
        <w:t>st</w:t>
      </w:r>
      <w:r w:rsidR="00A77F30" w:rsidRPr="00FB2E13">
        <w:rPr>
          <w:rFonts w:cs="Arial"/>
          <w:sz w:val="22"/>
          <w:szCs w:val="22"/>
        </w:rPr>
        <w:t>aff</w:t>
      </w:r>
      <w:r w:rsidR="00C46C25" w:rsidRPr="00FB2E13">
        <w:rPr>
          <w:rFonts w:cs="Arial"/>
          <w:sz w:val="22"/>
          <w:szCs w:val="22"/>
        </w:rPr>
        <w:t xml:space="preserve"> support groups (e.g. Mental wellbeing forum) </w:t>
      </w:r>
      <w:r w:rsidRPr="00FB2E13">
        <w:rPr>
          <w:rFonts w:cs="Arial"/>
          <w:sz w:val="22"/>
          <w:szCs w:val="22"/>
        </w:rPr>
        <w:t xml:space="preserve"> </w:t>
      </w:r>
      <w:r w:rsidR="00A77F30" w:rsidRPr="00FB2E13">
        <w:rPr>
          <w:rFonts w:cs="Arial"/>
          <w:sz w:val="22"/>
          <w:szCs w:val="22"/>
        </w:rPr>
        <w:t xml:space="preserve">as well as a dedicated programme on </w:t>
      </w:r>
      <w:r w:rsidRPr="00FB2E13">
        <w:rPr>
          <w:rFonts w:cs="Arial"/>
          <w:sz w:val="22"/>
          <w:szCs w:val="22"/>
        </w:rPr>
        <w:t>coaching/mentoring</w:t>
      </w:r>
      <w:r w:rsidR="00FB2E13" w:rsidRPr="00FB2E13">
        <w:rPr>
          <w:rFonts w:cs="Arial"/>
          <w:sz w:val="22"/>
          <w:szCs w:val="22"/>
        </w:rPr>
        <w:t xml:space="preserve"> (peer support)</w:t>
      </w:r>
      <w:r w:rsidR="00A77F30" w:rsidRPr="00FB2E13">
        <w:rPr>
          <w:rFonts w:cs="Arial"/>
          <w:sz w:val="22"/>
          <w:szCs w:val="22"/>
        </w:rPr>
        <w:t>.</w:t>
      </w:r>
    </w:p>
    <w:p w14:paraId="69C913BF" w14:textId="77777777" w:rsidR="002C709C" w:rsidRPr="00FB2E13" w:rsidRDefault="002C709C" w:rsidP="0093557F">
      <w:pPr>
        <w:rPr>
          <w:rFonts w:cs="Arial"/>
          <w:sz w:val="22"/>
          <w:szCs w:val="22"/>
        </w:rPr>
      </w:pPr>
    </w:p>
    <w:p w14:paraId="2CA32124" w14:textId="77777777" w:rsidR="002C709C" w:rsidRPr="002C709C" w:rsidRDefault="002C709C" w:rsidP="002C709C">
      <w:pPr>
        <w:rPr>
          <w:rFonts w:cs="Arial"/>
          <w:sz w:val="22"/>
          <w:szCs w:val="22"/>
        </w:rPr>
      </w:pPr>
      <w:r w:rsidRPr="002C709C">
        <w:rPr>
          <w:rFonts w:cs="Arial"/>
          <w:sz w:val="22"/>
          <w:szCs w:val="22"/>
        </w:rPr>
        <w:t xml:space="preserve">In September 2025 the Faculty produced </w:t>
      </w:r>
      <w:hyperlink r:id="rId12" w:history="1">
        <w:r w:rsidRPr="002C709C">
          <w:rPr>
            <w:rStyle w:val="Hyperlink"/>
            <w:rFonts w:cs="Arial"/>
            <w:sz w:val="22"/>
            <w:szCs w:val="22"/>
          </w:rPr>
          <w:t>guidance on working from home</w:t>
        </w:r>
      </w:hyperlink>
      <w:r w:rsidRPr="002C709C">
        <w:rPr>
          <w:rFonts w:cs="Arial"/>
          <w:sz w:val="22"/>
          <w:szCs w:val="22"/>
        </w:rPr>
        <w:t xml:space="preserve">. This resource supports employers to reduce the potential challenges of </w:t>
      </w:r>
      <w:r w:rsidRPr="002C709C">
        <w:rPr>
          <w:rFonts w:cs="Arial"/>
          <w:b/>
          <w:bCs/>
          <w:sz w:val="22"/>
          <w:szCs w:val="22"/>
        </w:rPr>
        <w:t>hybrid working</w:t>
      </w:r>
      <w:r w:rsidRPr="002C709C">
        <w:rPr>
          <w:rFonts w:cs="Arial"/>
          <w:sz w:val="22"/>
          <w:szCs w:val="22"/>
        </w:rPr>
        <w:t xml:space="preserve"> while maximising its benefits.</w:t>
      </w:r>
    </w:p>
    <w:p w14:paraId="51E36D25" w14:textId="77777777" w:rsidR="002C709C" w:rsidRDefault="002C709C" w:rsidP="0093557F">
      <w:pPr>
        <w:rPr>
          <w:rFonts w:cs="Arial"/>
        </w:rPr>
      </w:pPr>
    </w:p>
    <w:p w14:paraId="59CF98B9" w14:textId="77777777" w:rsidR="00504B63" w:rsidRDefault="00504B63">
      <w:pPr>
        <w:rPr>
          <w:rFonts w:cs="Arial"/>
        </w:rPr>
      </w:pPr>
      <w:r>
        <w:rPr>
          <w:rFonts w:cs="Arial"/>
        </w:rPr>
        <w:br w:type="page"/>
      </w:r>
    </w:p>
    <w:p w14:paraId="0807A554" w14:textId="43416C8B" w:rsidR="00504B63" w:rsidRPr="00EF0424" w:rsidRDefault="00504B63" w:rsidP="003112A0">
      <w:pPr>
        <w:tabs>
          <w:tab w:val="left" w:pos="9070"/>
        </w:tabs>
        <w:rPr>
          <w:rFonts w:cs="Arial"/>
          <w:b/>
          <w:bCs/>
          <w:color w:val="000000" w:themeColor="text1"/>
          <w:sz w:val="30"/>
          <w:szCs w:val="30"/>
        </w:rPr>
      </w:pPr>
      <w:r w:rsidRPr="00EF0424">
        <w:rPr>
          <w:rFonts w:cs="Arial"/>
          <w:b/>
          <w:bCs/>
          <w:color w:val="000000" w:themeColor="text1"/>
          <w:sz w:val="30"/>
          <w:szCs w:val="30"/>
        </w:rPr>
        <w:lastRenderedPageBreak/>
        <w:t>Appendix 2: FACULTY OF PUBLIC HEALTH</w:t>
      </w:r>
      <w:r w:rsidR="003112A0" w:rsidRPr="00EF0424">
        <w:rPr>
          <w:rFonts w:cs="Arial"/>
          <w:b/>
          <w:bCs/>
          <w:color w:val="000000" w:themeColor="text1"/>
          <w:sz w:val="30"/>
          <w:szCs w:val="30"/>
        </w:rPr>
        <w:t xml:space="preserve"> </w:t>
      </w:r>
      <w:r w:rsidRPr="00EF0424">
        <w:rPr>
          <w:rFonts w:cs="Arial"/>
          <w:b/>
          <w:bCs/>
          <w:color w:val="000000" w:themeColor="text1"/>
          <w:sz w:val="30"/>
          <w:szCs w:val="30"/>
        </w:rPr>
        <w:t>COMPETENCIES</w:t>
      </w:r>
    </w:p>
    <w:p w14:paraId="285E397F" w14:textId="77777777" w:rsidR="00504B63" w:rsidRPr="00F51F76" w:rsidRDefault="00504B63" w:rsidP="00504B63">
      <w:pPr>
        <w:tabs>
          <w:tab w:val="left" w:pos="0"/>
        </w:tabs>
        <w:suppressAutoHyphens/>
        <w:spacing w:after="200" w:line="276" w:lineRule="auto"/>
        <w:jc w:val="center"/>
        <w:outlineLvl w:val="0"/>
        <w:rPr>
          <w:rFonts w:eastAsia="Calibri" w:cs="Arial"/>
          <w:i/>
          <w:iCs/>
        </w:rPr>
      </w:pPr>
      <w:r w:rsidRPr="00F51F76">
        <w:rPr>
          <w:rFonts w:eastAsia="Calibri" w:cs="Arial"/>
          <w:i/>
          <w:iCs/>
        </w:rPr>
        <w:t>(based on Faculty of Public Health, 2022)</w:t>
      </w:r>
    </w:p>
    <w:p w14:paraId="41D07688" w14:textId="77777777" w:rsidR="00504B63" w:rsidRPr="00E9552C" w:rsidRDefault="00504B63" w:rsidP="00504B63">
      <w:pPr>
        <w:tabs>
          <w:tab w:val="left" w:pos="0"/>
        </w:tabs>
        <w:suppressAutoHyphens/>
        <w:spacing w:after="200" w:line="276" w:lineRule="auto"/>
        <w:ind w:right="-569"/>
        <w:outlineLvl w:val="0"/>
        <w:rPr>
          <w:rFonts w:eastAsia="Calibri" w:cs="Arial"/>
        </w:rPr>
      </w:pPr>
      <w:r w:rsidRPr="00E9552C">
        <w:rPr>
          <w:rFonts w:eastAsia="Calibri" w:cs="Arial"/>
        </w:rPr>
        <w:t>All consultants</w:t>
      </w:r>
      <w:r>
        <w:rPr>
          <w:rFonts w:eastAsia="Calibri" w:cs="Arial"/>
        </w:rPr>
        <w:t xml:space="preserve"> </w:t>
      </w:r>
      <w:r w:rsidRPr="00E9552C">
        <w:rPr>
          <w:rFonts w:eastAsia="Calibri" w:cs="Arial"/>
        </w:rPr>
        <w:t xml:space="preserve">are expected to be proficient in the competencies set out below. </w:t>
      </w:r>
    </w:p>
    <w:p w14:paraId="75601E7D" w14:textId="77777777" w:rsidR="00504B63" w:rsidRPr="00AD6D5A" w:rsidRDefault="00504B63" w:rsidP="00504B63">
      <w:pPr>
        <w:spacing w:before="120"/>
        <w:ind w:right="-569"/>
        <w:rPr>
          <w:rFonts w:cs="Arial"/>
          <w:b/>
          <w:bCs/>
          <w:i/>
          <w:iCs/>
        </w:rPr>
      </w:pPr>
      <w:r w:rsidRPr="00AD6D5A">
        <w:rPr>
          <w:rFonts w:cs="Arial"/>
          <w:b/>
          <w:bCs/>
          <w:i/>
          <w:iCs/>
        </w:rPr>
        <w:t>Use of public health intelligence to survey and assess a population’s health and wellbeing</w:t>
      </w:r>
    </w:p>
    <w:p w14:paraId="037E8E83" w14:textId="77777777" w:rsidR="00504B63" w:rsidRPr="00F51F76" w:rsidRDefault="00504B63" w:rsidP="00504B63">
      <w:pPr>
        <w:ind w:right="-569"/>
        <w:rPr>
          <w:rFonts w:cs="Arial"/>
          <w:sz w:val="20"/>
        </w:rPr>
      </w:pPr>
      <w:r w:rsidRPr="00F51F76">
        <w:rPr>
          <w:rFonts w:cs="Arial"/>
          <w:sz w:val="20"/>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292DD6B0" w14:textId="77777777" w:rsidR="00504B63" w:rsidRPr="00AD6D5A" w:rsidRDefault="00504B63" w:rsidP="00504B63">
      <w:pPr>
        <w:spacing w:before="120"/>
        <w:ind w:right="-569"/>
        <w:rPr>
          <w:rFonts w:cs="Arial"/>
          <w:b/>
          <w:bCs/>
          <w:i/>
          <w:iCs/>
        </w:rPr>
      </w:pPr>
      <w:r w:rsidRPr="00AD6D5A">
        <w:rPr>
          <w:rFonts w:cs="Arial"/>
          <w:b/>
          <w:bCs/>
          <w:i/>
          <w:iCs/>
        </w:rPr>
        <w:t>Assessing the evidence of effectiveness of interventions, programmes and services intended to improve the health or wellbeing of individuals or populations</w:t>
      </w:r>
    </w:p>
    <w:p w14:paraId="5E91E006" w14:textId="77777777" w:rsidR="00504B63" w:rsidRPr="00F51F76" w:rsidRDefault="00504B63" w:rsidP="00504B63">
      <w:pPr>
        <w:ind w:right="-569"/>
        <w:rPr>
          <w:rFonts w:cs="Arial"/>
          <w:sz w:val="20"/>
        </w:rPr>
      </w:pPr>
      <w:r w:rsidRPr="00F51F76">
        <w:rPr>
          <w:rFonts w:cs="Arial"/>
          <w:sz w:val="20"/>
        </w:rPr>
        <w:t>To be able to use a range of resources to generate and communicate appropriately evidenced and informed recommendations for improving population health across operational and strategic health and care settings.</w:t>
      </w:r>
    </w:p>
    <w:p w14:paraId="1D4C27F7" w14:textId="77777777" w:rsidR="00504B63" w:rsidRPr="00AD6D5A" w:rsidRDefault="00504B63" w:rsidP="00504B63">
      <w:pPr>
        <w:spacing w:before="120"/>
        <w:ind w:right="-569"/>
        <w:rPr>
          <w:rFonts w:cs="Arial"/>
          <w:b/>
          <w:bCs/>
          <w:i/>
          <w:iCs/>
        </w:rPr>
      </w:pPr>
      <w:r w:rsidRPr="00AD6D5A">
        <w:rPr>
          <w:rFonts w:cs="Arial"/>
          <w:b/>
          <w:bCs/>
          <w:i/>
          <w:iCs/>
        </w:rPr>
        <w:t xml:space="preserve">Policy and strategy development and implementation </w:t>
      </w:r>
    </w:p>
    <w:p w14:paraId="0DA5E3C8" w14:textId="77777777" w:rsidR="00504B63" w:rsidRPr="00F51F76" w:rsidRDefault="00504B63" w:rsidP="00504B63">
      <w:pPr>
        <w:ind w:right="-569"/>
        <w:rPr>
          <w:rFonts w:cs="Arial"/>
          <w:sz w:val="20"/>
        </w:rPr>
      </w:pPr>
      <w:r w:rsidRPr="00F51F76">
        <w:rPr>
          <w:rFonts w:cs="Arial"/>
          <w:sz w:val="20"/>
        </w:rPr>
        <w:t>To be able to influence and contribute to the development of policy as well as lead the development and implementation of a strategy.</w:t>
      </w:r>
    </w:p>
    <w:p w14:paraId="30203A36" w14:textId="77777777" w:rsidR="00504B63" w:rsidRPr="00AD6D5A" w:rsidRDefault="00504B63" w:rsidP="00504B63">
      <w:pPr>
        <w:spacing w:before="120"/>
        <w:ind w:right="-569"/>
        <w:rPr>
          <w:rFonts w:cs="Arial"/>
          <w:b/>
          <w:bCs/>
          <w:i/>
          <w:iCs/>
        </w:rPr>
      </w:pPr>
      <w:r w:rsidRPr="00AD6D5A">
        <w:rPr>
          <w:rFonts w:cs="Arial"/>
          <w:b/>
          <w:bCs/>
          <w:i/>
          <w:iCs/>
        </w:rPr>
        <w:t>Strategic leadership and collaborative working for health</w:t>
      </w:r>
    </w:p>
    <w:p w14:paraId="5F65F930" w14:textId="77777777" w:rsidR="00504B63" w:rsidRPr="00F51F76" w:rsidRDefault="00504B63" w:rsidP="00504B63">
      <w:pPr>
        <w:ind w:right="-569"/>
        <w:rPr>
          <w:rFonts w:cs="Arial"/>
          <w:sz w:val="20"/>
        </w:rPr>
      </w:pPr>
      <w:r w:rsidRPr="00F51F76">
        <w:rPr>
          <w:rFonts w:cs="Arial"/>
          <w:sz w:val="20"/>
        </w:rPr>
        <w:t>To use a range of effective strategic leadership, organisational and management skills, in a variety of complex public health situations and contexts, dealing effectively with uncertainty and the unexpected to achieve public health goals.</w:t>
      </w:r>
    </w:p>
    <w:p w14:paraId="6615A2E4" w14:textId="77777777" w:rsidR="00504B63" w:rsidRPr="00AD6D5A" w:rsidRDefault="00504B63" w:rsidP="00504B63">
      <w:pPr>
        <w:spacing w:before="120"/>
        <w:ind w:right="-569"/>
        <w:rPr>
          <w:rFonts w:cs="Arial"/>
          <w:b/>
          <w:bCs/>
          <w:i/>
          <w:iCs/>
        </w:rPr>
      </w:pPr>
      <w:r w:rsidRPr="00AD6D5A">
        <w:rPr>
          <w:rFonts w:cs="Arial"/>
          <w:b/>
          <w:bCs/>
          <w:i/>
          <w:iCs/>
        </w:rPr>
        <w:t xml:space="preserve">Health </w:t>
      </w:r>
      <w:r>
        <w:rPr>
          <w:rFonts w:cs="Arial"/>
          <w:b/>
          <w:bCs/>
          <w:i/>
          <w:iCs/>
        </w:rPr>
        <w:t>i</w:t>
      </w:r>
      <w:r w:rsidRPr="00AD6D5A">
        <w:rPr>
          <w:rFonts w:cs="Arial"/>
          <w:b/>
          <w:bCs/>
          <w:i/>
          <w:iCs/>
        </w:rPr>
        <w:t xml:space="preserve">mprovement, </w:t>
      </w:r>
      <w:r>
        <w:rPr>
          <w:rFonts w:cs="Arial"/>
          <w:b/>
          <w:bCs/>
          <w:i/>
          <w:iCs/>
        </w:rPr>
        <w:t>d</w:t>
      </w:r>
      <w:r w:rsidRPr="00AD6D5A">
        <w:rPr>
          <w:rFonts w:cs="Arial"/>
          <w:b/>
          <w:bCs/>
          <w:i/>
          <w:iCs/>
        </w:rPr>
        <w:t xml:space="preserve">eterminants of </w:t>
      </w:r>
      <w:r>
        <w:rPr>
          <w:rFonts w:cs="Arial"/>
          <w:b/>
          <w:bCs/>
          <w:i/>
          <w:iCs/>
        </w:rPr>
        <w:t>h</w:t>
      </w:r>
      <w:r w:rsidRPr="00AD6D5A">
        <w:rPr>
          <w:rFonts w:cs="Arial"/>
          <w:b/>
          <w:bCs/>
          <w:i/>
          <w:iCs/>
        </w:rPr>
        <w:t xml:space="preserve">ealth and </w:t>
      </w:r>
      <w:r>
        <w:rPr>
          <w:rFonts w:cs="Arial"/>
          <w:b/>
          <w:bCs/>
          <w:i/>
          <w:iCs/>
        </w:rPr>
        <w:t>h</w:t>
      </w:r>
      <w:r w:rsidRPr="00AD6D5A">
        <w:rPr>
          <w:rFonts w:cs="Arial"/>
          <w:b/>
          <w:bCs/>
          <w:i/>
          <w:iCs/>
        </w:rPr>
        <w:t xml:space="preserve">ealth </w:t>
      </w:r>
      <w:r>
        <w:rPr>
          <w:rFonts w:cs="Arial"/>
          <w:b/>
          <w:bCs/>
          <w:i/>
          <w:iCs/>
        </w:rPr>
        <w:t>c</w:t>
      </w:r>
      <w:r w:rsidRPr="00AD6D5A">
        <w:rPr>
          <w:rFonts w:cs="Arial"/>
          <w:b/>
          <w:bCs/>
          <w:i/>
          <w:iCs/>
        </w:rPr>
        <w:t>ommunications</w:t>
      </w:r>
    </w:p>
    <w:p w14:paraId="6716F9B7" w14:textId="77777777" w:rsidR="00504B63" w:rsidRPr="00F51F76" w:rsidRDefault="00504B63" w:rsidP="00504B63">
      <w:pPr>
        <w:ind w:right="-569"/>
        <w:rPr>
          <w:rFonts w:cs="Arial"/>
          <w:sz w:val="20"/>
        </w:rPr>
      </w:pPr>
      <w:r w:rsidRPr="00F51F76">
        <w:rPr>
          <w:rFonts w:cs="Arial"/>
          <w:sz w:val="20"/>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7776C91A" w14:textId="77777777" w:rsidR="00504B63" w:rsidRPr="00AD6D5A" w:rsidRDefault="00504B63" w:rsidP="00504B63">
      <w:pPr>
        <w:spacing w:before="120"/>
        <w:ind w:right="-569"/>
        <w:rPr>
          <w:rFonts w:cs="Arial"/>
          <w:b/>
          <w:bCs/>
          <w:i/>
          <w:iCs/>
        </w:rPr>
      </w:pPr>
      <w:r w:rsidRPr="00AD6D5A">
        <w:rPr>
          <w:rFonts w:cs="Arial"/>
          <w:b/>
          <w:bCs/>
          <w:i/>
          <w:iCs/>
        </w:rPr>
        <w:t xml:space="preserve">Health </w:t>
      </w:r>
      <w:r>
        <w:rPr>
          <w:rFonts w:cs="Arial"/>
          <w:b/>
          <w:bCs/>
          <w:i/>
          <w:iCs/>
        </w:rPr>
        <w:t>p</w:t>
      </w:r>
      <w:r w:rsidRPr="00AD6D5A">
        <w:rPr>
          <w:rFonts w:cs="Arial"/>
          <w:b/>
          <w:bCs/>
          <w:i/>
          <w:iCs/>
        </w:rPr>
        <w:t xml:space="preserve">rotection </w:t>
      </w:r>
    </w:p>
    <w:p w14:paraId="230DF2AB" w14:textId="77777777" w:rsidR="00504B63" w:rsidRPr="00F51F76" w:rsidRDefault="00504B63" w:rsidP="00504B63">
      <w:pPr>
        <w:ind w:right="-569"/>
        <w:rPr>
          <w:rFonts w:cs="Arial"/>
          <w:sz w:val="20"/>
        </w:rPr>
      </w:pPr>
      <w:r w:rsidRPr="00F51F76">
        <w:rPr>
          <w:rFonts w:cs="Arial"/>
          <w:sz w:val="20"/>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69234649" w14:textId="77777777" w:rsidR="00504B63" w:rsidRPr="00AD6D5A" w:rsidRDefault="00504B63" w:rsidP="00504B63">
      <w:pPr>
        <w:spacing w:before="120"/>
        <w:ind w:right="-569"/>
        <w:rPr>
          <w:rFonts w:cs="Arial"/>
          <w:b/>
          <w:bCs/>
          <w:i/>
          <w:iCs/>
        </w:rPr>
      </w:pPr>
      <w:r w:rsidRPr="00AD6D5A">
        <w:rPr>
          <w:rFonts w:cs="Arial"/>
          <w:b/>
          <w:bCs/>
          <w:i/>
          <w:iCs/>
        </w:rPr>
        <w:t xml:space="preserve">Health and </w:t>
      </w:r>
      <w:r>
        <w:rPr>
          <w:rFonts w:cs="Arial"/>
          <w:b/>
          <w:bCs/>
          <w:i/>
          <w:iCs/>
        </w:rPr>
        <w:t>c</w:t>
      </w:r>
      <w:r w:rsidRPr="00AD6D5A">
        <w:rPr>
          <w:rFonts w:cs="Arial"/>
          <w:b/>
          <w:bCs/>
          <w:i/>
          <w:iCs/>
        </w:rPr>
        <w:t xml:space="preserve">are </w:t>
      </w:r>
      <w:r>
        <w:rPr>
          <w:rFonts w:cs="Arial"/>
          <w:b/>
          <w:bCs/>
          <w:i/>
          <w:iCs/>
        </w:rPr>
        <w:t>p</w:t>
      </w:r>
      <w:r w:rsidRPr="00AD6D5A">
        <w:rPr>
          <w:rFonts w:cs="Arial"/>
          <w:b/>
          <w:bCs/>
          <w:i/>
          <w:iCs/>
        </w:rPr>
        <w:t xml:space="preserve">ublic </w:t>
      </w:r>
      <w:r>
        <w:rPr>
          <w:rFonts w:cs="Arial"/>
          <w:b/>
          <w:bCs/>
          <w:i/>
          <w:iCs/>
        </w:rPr>
        <w:t>h</w:t>
      </w:r>
      <w:r w:rsidRPr="00AD6D5A">
        <w:rPr>
          <w:rFonts w:cs="Arial"/>
          <w:b/>
          <w:bCs/>
          <w:i/>
          <w:iCs/>
        </w:rPr>
        <w:t xml:space="preserve">ealth </w:t>
      </w:r>
    </w:p>
    <w:p w14:paraId="094C5941" w14:textId="77777777" w:rsidR="00504B63" w:rsidRPr="00F51F76" w:rsidRDefault="00504B63" w:rsidP="00504B63">
      <w:pPr>
        <w:ind w:right="-569"/>
        <w:rPr>
          <w:rFonts w:cs="Arial"/>
          <w:sz w:val="20"/>
        </w:rPr>
      </w:pPr>
      <w:r w:rsidRPr="00F51F76">
        <w:rPr>
          <w:rFonts w:cs="Arial"/>
          <w:sz w:val="20"/>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5108DA52" w14:textId="77777777" w:rsidR="00504B63" w:rsidRPr="00AD6D5A" w:rsidRDefault="00504B63" w:rsidP="00504B63">
      <w:pPr>
        <w:spacing w:before="120"/>
        <w:ind w:right="-569"/>
        <w:rPr>
          <w:rFonts w:cs="Arial"/>
          <w:b/>
          <w:bCs/>
          <w:i/>
          <w:iCs/>
        </w:rPr>
      </w:pPr>
      <w:r w:rsidRPr="00AD6D5A">
        <w:rPr>
          <w:rFonts w:cs="Arial"/>
          <w:b/>
          <w:bCs/>
          <w:i/>
          <w:iCs/>
        </w:rPr>
        <w:t xml:space="preserve">Academic public health </w:t>
      </w:r>
    </w:p>
    <w:p w14:paraId="5BAC4F1C" w14:textId="77777777" w:rsidR="00504B63" w:rsidRPr="00F51F76" w:rsidRDefault="00504B63" w:rsidP="00504B63">
      <w:pPr>
        <w:ind w:right="-569"/>
        <w:rPr>
          <w:rFonts w:cs="Arial"/>
          <w:sz w:val="20"/>
        </w:rPr>
      </w:pPr>
      <w:r w:rsidRPr="00F51F76">
        <w:rPr>
          <w:rFonts w:cs="Arial"/>
          <w:sz w:val="20"/>
        </w:rPr>
        <w:t>To add an academic perspective to all public health work undertaken. Specifically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7C63BE68" w14:textId="77777777" w:rsidR="00504B63" w:rsidRPr="00AD6D5A" w:rsidRDefault="00504B63" w:rsidP="00504B63">
      <w:pPr>
        <w:spacing w:before="120"/>
        <w:ind w:right="-569"/>
        <w:rPr>
          <w:rFonts w:cs="Arial"/>
          <w:b/>
          <w:bCs/>
          <w:i/>
          <w:iCs/>
        </w:rPr>
      </w:pPr>
      <w:r w:rsidRPr="00AD6D5A">
        <w:rPr>
          <w:rFonts w:cs="Arial"/>
          <w:b/>
          <w:bCs/>
          <w:i/>
          <w:iCs/>
        </w:rPr>
        <w:t>Professional, personal and ethical development</w:t>
      </w:r>
    </w:p>
    <w:p w14:paraId="198CA8CD" w14:textId="77777777" w:rsidR="00504B63" w:rsidRPr="00F51F76" w:rsidRDefault="00504B63" w:rsidP="00504B63">
      <w:pPr>
        <w:ind w:right="-569"/>
        <w:rPr>
          <w:rFonts w:cs="Arial"/>
          <w:sz w:val="20"/>
        </w:rPr>
      </w:pPr>
      <w:r w:rsidRPr="00F51F76">
        <w:rPr>
          <w:rFonts w:cs="Arial"/>
          <w:sz w:val="20"/>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w:t>
      </w:r>
    </w:p>
    <w:p w14:paraId="44346E41" w14:textId="77777777" w:rsidR="00504B63" w:rsidRPr="00AD6D5A" w:rsidRDefault="00504B63" w:rsidP="00504B63">
      <w:pPr>
        <w:spacing w:before="120"/>
        <w:ind w:right="-569"/>
        <w:rPr>
          <w:rFonts w:cs="Arial"/>
          <w:b/>
          <w:bCs/>
          <w:i/>
          <w:iCs/>
        </w:rPr>
      </w:pPr>
      <w:r w:rsidRPr="00AD6D5A">
        <w:rPr>
          <w:rFonts w:cs="Arial"/>
          <w:b/>
          <w:bCs/>
          <w:i/>
          <w:iCs/>
        </w:rPr>
        <w:t>Integration and application of competencies for consultant practice</w:t>
      </w:r>
    </w:p>
    <w:p w14:paraId="2A768CC8" w14:textId="77777777" w:rsidR="00504B63" w:rsidRPr="00F51F76" w:rsidRDefault="00504B63" w:rsidP="00504B63">
      <w:pPr>
        <w:ind w:right="-569"/>
        <w:rPr>
          <w:rFonts w:cs="Arial"/>
          <w:sz w:val="20"/>
        </w:rPr>
      </w:pPr>
      <w:r w:rsidRPr="00F51F76">
        <w:rPr>
          <w:rFonts w:cs="Arial"/>
          <w:sz w:val="20"/>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03867410" w14:textId="32BEB918" w:rsidR="00D94D46" w:rsidRDefault="00D94D46">
      <w:pPr>
        <w:rPr>
          <w:rFonts w:cs="Arial"/>
          <w:b/>
          <w:sz w:val="28"/>
        </w:rPr>
      </w:pPr>
      <w:r>
        <w:rPr>
          <w:rFonts w:cs="Arial"/>
        </w:rPr>
        <w:br w:type="page"/>
      </w:r>
    </w:p>
    <w:p w14:paraId="62CCB887" w14:textId="0869264B" w:rsidR="00891C37" w:rsidRDefault="00FD6284" w:rsidP="00517469">
      <w:pPr>
        <w:pStyle w:val="BodyText"/>
        <w:ind w:left="-1276" w:firstLine="1276"/>
        <w:jc w:val="left"/>
        <w:rPr>
          <w:rFonts w:ascii="Arial" w:hAnsi="Arial" w:cs="Arial"/>
        </w:rPr>
      </w:pPr>
      <w:r>
        <w:rPr>
          <w:rFonts w:ascii="Arial" w:hAnsi="Arial" w:cs="Arial"/>
        </w:rPr>
        <w:lastRenderedPageBreak/>
        <w:t>S</w:t>
      </w:r>
      <w:r w:rsidR="00F106EC">
        <w:rPr>
          <w:rFonts w:ascii="Arial" w:hAnsi="Arial" w:cs="Arial"/>
        </w:rPr>
        <w:t>tructure chart</w:t>
      </w:r>
    </w:p>
    <w:p w14:paraId="0DE4B5B7" w14:textId="77777777" w:rsidR="00F106EC" w:rsidRDefault="00F106EC" w:rsidP="00F106EC">
      <w:pPr>
        <w:pStyle w:val="BodyText"/>
        <w:ind w:left="-1276"/>
        <w:jc w:val="left"/>
        <w:rPr>
          <w:rFonts w:ascii="Arial" w:hAnsi="Arial" w:cs="Arial"/>
        </w:rPr>
      </w:pPr>
    </w:p>
    <w:p w14:paraId="66204FF1" w14:textId="76E59D7B" w:rsidR="00AC42D4" w:rsidRDefault="00667993" w:rsidP="00EB5893">
      <w:pPr>
        <w:pStyle w:val="BodyText"/>
        <w:jc w:val="left"/>
      </w:pPr>
      <w:r w:rsidRPr="00667993">
        <w:drawing>
          <wp:inline distT="0" distB="0" distL="0" distR="0" wp14:anchorId="61D76693" wp14:editId="274FD9E6">
            <wp:extent cx="8514715" cy="5521569"/>
            <wp:effectExtent l="0" t="8255" r="0" b="0"/>
            <wp:docPr id="829349400" name="Picture 1" descr="A diagram of a health stratif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49400" name="Picture 1" descr="A diagram of a health stratification&#10;&#10;AI-generated content may be incorrect."/>
                    <pic:cNvPicPr/>
                  </pic:nvPicPr>
                  <pic:blipFill>
                    <a:blip r:embed="rId13"/>
                    <a:stretch>
                      <a:fillRect/>
                    </a:stretch>
                  </pic:blipFill>
                  <pic:spPr>
                    <a:xfrm rot="16200000">
                      <a:off x="0" y="0"/>
                      <a:ext cx="8560642" cy="5551351"/>
                    </a:xfrm>
                    <a:prstGeom prst="rect">
                      <a:avLst/>
                    </a:prstGeom>
                  </pic:spPr>
                </pic:pic>
              </a:graphicData>
            </a:graphic>
          </wp:inline>
        </w:drawing>
      </w:r>
    </w:p>
    <w:sectPr w:rsidR="00AC42D4" w:rsidSect="00FB5E10">
      <w:footerReference w:type="first" r:id="rId14"/>
      <w:pgSz w:w="11906" w:h="16838" w:code="9"/>
      <w:pgMar w:top="1304" w:right="1418" w:bottom="130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1AF8" w14:textId="77777777" w:rsidR="00CE07F1" w:rsidRDefault="00CE07F1">
      <w:r>
        <w:separator/>
      </w:r>
    </w:p>
  </w:endnote>
  <w:endnote w:type="continuationSeparator" w:id="0">
    <w:p w14:paraId="7163BCF4" w14:textId="77777777" w:rsidR="00CE07F1" w:rsidRDefault="00CE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B286" w14:textId="77777777" w:rsidR="00AE6EB0" w:rsidRPr="00184DB0" w:rsidRDefault="00AE6EB0" w:rsidP="00AE6EB0">
    <w:pPr>
      <w:tabs>
        <w:tab w:val="left" w:pos="2694"/>
      </w:tabs>
      <w:rPr>
        <w:sz w:val="20"/>
      </w:rPr>
    </w:pPr>
    <w:r w:rsidRPr="00184DB0">
      <w:rPr>
        <w:sz w:val="20"/>
      </w:rPr>
      <w:t xml:space="preserve">A = Application form                C = Certificates    </w:t>
    </w:r>
    <w:r w:rsidRPr="00184DB0">
      <w:rPr>
        <w:sz w:val="20"/>
      </w:rPr>
      <w:tab/>
      <w:t xml:space="preserve"> I = interview    </w:t>
    </w:r>
  </w:p>
  <w:p w14:paraId="6B99B18E" w14:textId="77777777" w:rsidR="00AE6EB0" w:rsidRPr="00184DB0" w:rsidRDefault="00AE6EB0" w:rsidP="00AE6EB0">
    <w:pPr>
      <w:pStyle w:val="Footer"/>
      <w:tabs>
        <w:tab w:val="left" w:pos="2694"/>
      </w:tabs>
      <w:rPr>
        <w:sz w:val="20"/>
      </w:rPr>
    </w:pPr>
    <w:r>
      <w:rPr>
        <w:sz w:val="20"/>
      </w:rPr>
      <w:t>R = References</w:t>
    </w:r>
    <w:r>
      <w:rPr>
        <w:sz w:val="20"/>
      </w:rPr>
      <w:tab/>
    </w:r>
    <w:r w:rsidRPr="00184DB0">
      <w:rPr>
        <w:sz w:val="20"/>
      </w:rPr>
      <w:t>S = selection test</w:t>
    </w:r>
  </w:p>
  <w:p w14:paraId="0DFA7EB4" w14:textId="4E7C0AFA" w:rsidR="00AE6EB0" w:rsidRPr="00D31AA9" w:rsidRDefault="00AE6EB0" w:rsidP="00AE6EB0">
    <w:pPr>
      <w:pStyle w:val="Footer"/>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B27B81">
      <w:rPr>
        <w:rStyle w:val="PageNumber"/>
        <w:noProof/>
      </w:rPr>
      <w:t>1</w:t>
    </w:r>
    <w:r>
      <w:rPr>
        <w:rStyle w:val="PageNumber"/>
      </w:rPr>
      <w:fldChar w:fldCharType="end"/>
    </w:r>
    <w:r>
      <w:tab/>
    </w:r>
    <w:r w:rsidR="00C958D5">
      <w:rPr>
        <w:sz w:val="20"/>
      </w:rPr>
      <w:t>November</w:t>
    </w:r>
    <w:r w:rsidR="003B77D3">
      <w:rPr>
        <w:sz w:val="20"/>
      </w:rPr>
      <w:t xml:space="preserve"> 20</w:t>
    </w:r>
    <w:r w:rsidR="00C958D5">
      <w:rPr>
        <w:sz w:val="20"/>
      </w:rPr>
      <w:t>25</w:t>
    </w:r>
  </w:p>
  <w:p w14:paraId="2DBF0D7D" w14:textId="77777777" w:rsidR="00AE6EB0" w:rsidRPr="00AE6EB0" w:rsidRDefault="00AE6EB0" w:rsidP="00AE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7460" w14:textId="77777777" w:rsidR="00CE07F1" w:rsidRDefault="00CE07F1">
      <w:r>
        <w:separator/>
      </w:r>
    </w:p>
  </w:footnote>
  <w:footnote w:type="continuationSeparator" w:id="0">
    <w:p w14:paraId="45749B91" w14:textId="77777777" w:rsidR="00CE07F1" w:rsidRDefault="00CE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B53"/>
    <w:multiLevelType w:val="hybridMultilevel"/>
    <w:tmpl w:val="566A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C35"/>
    <w:multiLevelType w:val="multilevel"/>
    <w:tmpl w:val="E996B2F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86395"/>
    <w:multiLevelType w:val="multilevel"/>
    <w:tmpl w:val="12E2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078E3"/>
    <w:multiLevelType w:val="multilevel"/>
    <w:tmpl w:val="E9CAA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50432"/>
    <w:multiLevelType w:val="hybridMultilevel"/>
    <w:tmpl w:val="D438E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113C8"/>
    <w:multiLevelType w:val="multilevel"/>
    <w:tmpl w:val="24567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46D02"/>
    <w:multiLevelType w:val="multilevel"/>
    <w:tmpl w:val="569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A65E3D"/>
    <w:multiLevelType w:val="hybridMultilevel"/>
    <w:tmpl w:val="B404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B189B"/>
    <w:multiLevelType w:val="multilevel"/>
    <w:tmpl w:val="482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32208"/>
    <w:multiLevelType w:val="hybridMultilevel"/>
    <w:tmpl w:val="A012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244FC"/>
    <w:multiLevelType w:val="multilevel"/>
    <w:tmpl w:val="75C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265F4"/>
    <w:multiLevelType w:val="multilevel"/>
    <w:tmpl w:val="FD32F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00EB2"/>
    <w:multiLevelType w:val="multilevel"/>
    <w:tmpl w:val="FDA4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E1523"/>
    <w:multiLevelType w:val="multilevel"/>
    <w:tmpl w:val="360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567ED"/>
    <w:multiLevelType w:val="hybridMultilevel"/>
    <w:tmpl w:val="35C0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B4A9E"/>
    <w:multiLevelType w:val="multilevel"/>
    <w:tmpl w:val="9AD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63B48"/>
    <w:multiLevelType w:val="hybridMultilevel"/>
    <w:tmpl w:val="F8B03BC8"/>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55404"/>
    <w:multiLevelType w:val="hybridMultilevel"/>
    <w:tmpl w:val="74BA7DB2"/>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24942"/>
    <w:multiLevelType w:val="multilevel"/>
    <w:tmpl w:val="5C6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34C70"/>
    <w:multiLevelType w:val="multilevel"/>
    <w:tmpl w:val="6CD8F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E4708"/>
    <w:multiLevelType w:val="hybridMultilevel"/>
    <w:tmpl w:val="60006A3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2C67C3"/>
    <w:multiLevelType w:val="hybridMultilevel"/>
    <w:tmpl w:val="E3E09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C3174"/>
    <w:multiLevelType w:val="multilevel"/>
    <w:tmpl w:val="EDC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4185E"/>
    <w:multiLevelType w:val="multilevel"/>
    <w:tmpl w:val="2D00C2C6"/>
    <w:lvl w:ilvl="0">
      <w:numFmt w:val="bullet"/>
      <w:lvlText w:val="·"/>
      <w:lvlJc w:val="left"/>
      <w:pPr>
        <w:tabs>
          <w:tab w:val="left" w:pos="28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DE6458"/>
    <w:multiLevelType w:val="hybridMultilevel"/>
    <w:tmpl w:val="C04CDBE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9164E"/>
    <w:multiLevelType w:val="multilevel"/>
    <w:tmpl w:val="C7C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7E2C7F"/>
    <w:multiLevelType w:val="multilevel"/>
    <w:tmpl w:val="8AD8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F4271"/>
    <w:multiLevelType w:val="hybridMultilevel"/>
    <w:tmpl w:val="373E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01670"/>
    <w:multiLevelType w:val="hybridMultilevel"/>
    <w:tmpl w:val="E94C8DCE"/>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0006A"/>
    <w:multiLevelType w:val="hybridMultilevel"/>
    <w:tmpl w:val="1398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DD5C9D"/>
    <w:multiLevelType w:val="multilevel"/>
    <w:tmpl w:val="60F6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D0F17"/>
    <w:multiLevelType w:val="hybridMultilevel"/>
    <w:tmpl w:val="0E52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21E01"/>
    <w:multiLevelType w:val="multilevel"/>
    <w:tmpl w:val="75C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D72A1"/>
    <w:multiLevelType w:val="multilevel"/>
    <w:tmpl w:val="CFE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663D2"/>
    <w:multiLevelType w:val="multilevel"/>
    <w:tmpl w:val="69CC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002108">
    <w:abstractNumId w:val="20"/>
  </w:num>
  <w:num w:numId="2" w16cid:durableId="509105849">
    <w:abstractNumId w:val="17"/>
  </w:num>
  <w:num w:numId="3" w16cid:durableId="994261314">
    <w:abstractNumId w:val="16"/>
  </w:num>
  <w:num w:numId="4" w16cid:durableId="1713461990">
    <w:abstractNumId w:val="28"/>
  </w:num>
  <w:num w:numId="5" w16cid:durableId="1793745051">
    <w:abstractNumId w:val="24"/>
  </w:num>
  <w:num w:numId="6" w16cid:durableId="1620837256">
    <w:abstractNumId w:val="14"/>
  </w:num>
  <w:num w:numId="7" w16cid:durableId="874469890">
    <w:abstractNumId w:val="21"/>
  </w:num>
  <w:num w:numId="8" w16cid:durableId="1348946524">
    <w:abstractNumId w:val="0"/>
  </w:num>
  <w:num w:numId="9" w16cid:durableId="1754819941">
    <w:abstractNumId w:val="27"/>
  </w:num>
  <w:num w:numId="10" w16cid:durableId="288362672">
    <w:abstractNumId w:val="29"/>
  </w:num>
  <w:num w:numId="11" w16cid:durableId="1565331131">
    <w:abstractNumId w:val="7"/>
  </w:num>
  <w:num w:numId="12" w16cid:durableId="1598294500">
    <w:abstractNumId w:val="13"/>
  </w:num>
  <w:num w:numId="13" w16cid:durableId="1232303665">
    <w:abstractNumId w:val="4"/>
  </w:num>
  <w:num w:numId="14" w16cid:durableId="1860194015">
    <w:abstractNumId w:val="1"/>
  </w:num>
  <w:num w:numId="15" w16cid:durableId="1095781942">
    <w:abstractNumId w:val="23"/>
  </w:num>
  <w:num w:numId="16" w16cid:durableId="50274868">
    <w:abstractNumId w:val="31"/>
  </w:num>
  <w:num w:numId="17" w16cid:durableId="1002201558">
    <w:abstractNumId w:val="9"/>
  </w:num>
  <w:num w:numId="18" w16cid:durableId="744450942">
    <w:abstractNumId w:val="12"/>
  </w:num>
  <w:num w:numId="19" w16cid:durableId="93870825">
    <w:abstractNumId w:val="5"/>
  </w:num>
  <w:num w:numId="20" w16cid:durableId="1587495749">
    <w:abstractNumId w:val="26"/>
  </w:num>
  <w:num w:numId="21" w16cid:durableId="1926261471">
    <w:abstractNumId w:val="30"/>
  </w:num>
  <w:num w:numId="22" w16cid:durableId="1147669430">
    <w:abstractNumId w:val="18"/>
  </w:num>
  <w:num w:numId="23" w16cid:durableId="644547773">
    <w:abstractNumId w:val="3"/>
  </w:num>
  <w:num w:numId="24" w16cid:durableId="370303002">
    <w:abstractNumId w:val="34"/>
  </w:num>
  <w:num w:numId="25" w16cid:durableId="200170936">
    <w:abstractNumId w:val="22"/>
  </w:num>
  <w:num w:numId="26" w16cid:durableId="1759249852">
    <w:abstractNumId w:val="11"/>
  </w:num>
  <w:num w:numId="27" w16cid:durableId="1771656936">
    <w:abstractNumId w:val="15"/>
  </w:num>
  <w:num w:numId="28" w16cid:durableId="1008365662">
    <w:abstractNumId w:val="19"/>
  </w:num>
  <w:num w:numId="29" w16cid:durableId="2078242996">
    <w:abstractNumId w:val="2"/>
  </w:num>
  <w:num w:numId="30" w16cid:durableId="1827624949">
    <w:abstractNumId w:val="33"/>
  </w:num>
  <w:num w:numId="31" w16cid:durableId="1708598390">
    <w:abstractNumId w:val="10"/>
  </w:num>
  <w:num w:numId="32" w16cid:durableId="1776948587">
    <w:abstractNumId w:val="8"/>
  </w:num>
  <w:num w:numId="33" w16cid:durableId="1370452516">
    <w:abstractNumId w:val="25"/>
  </w:num>
  <w:num w:numId="34" w16cid:durableId="2104178930">
    <w:abstractNumId w:val="32"/>
  </w:num>
  <w:num w:numId="35" w16cid:durableId="913861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52"/>
    <w:rsid w:val="000015BF"/>
    <w:rsid w:val="00012932"/>
    <w:rsid w:val="00023E0C"/>
    <w:rsid w:val="00023F90"/>
    <w:rsid w:val="000243D7"/>
    <w:rsid w:val="00027C69"/>
    <w:rsid w:val="00036337"/>
    <w:rsid w:val="00045731"/>
    <w:rsid w:val="00052EA4"/>
    <w:rsid w:val="000547A7"/>
    <w:rsid w:val="0009694D"/>
    <w:rsid w:val="00096E1A"/>
    <w:rsid w:val="000A3C09"/>
    <w:rsid w:val="000B0DF1"/>
    <w:rsid w:val="000B76AF"/>
    <w:rsid w:val="000C2FE5"/>
    <w:rsid w:val="000C37ED"/>
    <w:rsid w:val="000C3F88"/>
    <w:rsid w:val="000C611A"/>
    <w:rsid w:val="000C65C2"/>
    <w:rsid w:val="000D1A14"/>
    <w:rsid w:val="000D365F"/>
    <w:rsid w:val="000D37B9"/>
    <w:rsid w:val="0011437F"/>
    <w:rsid w:val="001150DC"/>
    <w:rsid w:val="0013493A"/>
    <w:rsid w:val="001350D8"/>
    <w:rsid w:val="001538C1"/>
    <w:rsid w:val="00157B55"/>
    <w:rsid w:val="00163C7E"/>
    <w:rsid w:val="00181B84"/>
    <w:rsid w:val="00184DB0"/>
    <w:rsid w:val="00186D4D"/>
    <w:rsid w:val="00191990"/>
    <w:rsid w:val="001A38C4"/>
    <w:rsid w:val="001A65ED"/>
    <w:rsid w:val="001B4C56"/>
    <w:rsid w:val="001E0F66"/>
    <w:rsid w:val="001E40F7"/>
    <w:rsid w:val="001E579B"/>
    <w:rsid w:val="001F1EA8"/>
    <w:rsid w:val="00200C3E"/>
    <w:rsid w:val="002015D1"/>
    <w:rsid w:val="00205949"/>
    <w:rsid w:val="0020605D"/>
    <w:rsid w:val="002064D4"/>
    <w:rsid w:val="00213DA9"/>
    <w:rsid w:val="00223F2F"/>
    <w:rsid w:val="0022783C"/>
    <w:rsid w:val="00250C81"/>
    <w:rsid w:val="00253D4D"/>
    <w:rsid w:val="00253EA5"/>
    <w:rsid w:val="00255552"/>
    <w:rsid w:val="0026064A"/>
    <w:rsid w:val="00285C7E"/>
    <w:rsid w:val="00290759"/>
    <w:rsid w:val="002C57E4"/>
    <w:rsid w:val="002C709C"/>
    <w:rsid w:val="002D4B69"/>
    <w:rsid w:val="002E510E"/>
    <w:rsid w:val="002F0198"/>
    <w:rsid w:val="002F5458"/>
    <w:rsid w:val="002F7640"/>
    <w:rsid w:val="00305579"/>
    <w:rsid w:val="003112A0"/>
    <w:rsid w:val="00315E5C"/>
    <w:rsid w:val="003178B2"/>
    <w:rsid w:val="00326E0A"/>
    <w:rsid w:val="00326EA9"/>
    <w:rsid w:val="00327F6D"/>
    <w:rsid w:val="003406D2"/>
    <w:rsid w:val="00346590"/>
    <w:rsid w:val="00354237"/>
    <w:rsid w:val="00355B03"/>
    <w:rsid w:val="00356E4E"/>
    <w:rsid w:val="003631EA"/>
    <w:rsid w:val="003646B5"/>
    <w:rsid w:val="003954A7"/>
    <w:rsid w:val="003A56F2"/>
    <w:rsid w:val="003A78C6"/>
    <w:rsid w:val="003B059E"/>
    <w:rsid w:val="003B060C"/>
    <w:rsid w:val="003B7635"/>
    <w:rsid w:val="003B77D3"/>
    <w:rsid w:val="003D6AE7"/>
    <w:rsid w:val="003E1874"/>
    <w:rsid w:val="003E4FD9"/>
    <w:rsid w:val="003F1834"/>
    <w:rsid w:val="00411864"/>
    <w:rsid w:val="00425D30"/>
    <w:rsid w:val="00427B68"/>
    <w:rsid w:val="00427D43"/>
    <w:rsid w:val="00444122"/>
    <w:rsid w:val="004476CA"/>
    <w:rsid w:val="004510EB"/>
    <w:rsid w:val="00455324"/>
    <w:rsid w:val="004658BC"/>
    <w:rsid w:val="004665E0"/>
    <w:rsid w:val="00467B8C"/>
    <w:rsid w:val="00477229"/>
    <w:rsid w:val="00482770"/>
    <w:rsid w:val="00482900"/>
    <w:rsid w:val="004853D0"/>
    <w:rsid w:val="004A6548"/>
    <w:rsid w:val="004C3DD0"/>
    <w:rsid w:val="004C66FC"/>
    <w:rsid w:val="004D05F5"/>
    <w:rsid w:val="004D3CDD"/>
    <w:rsid w:val="004D54D8"/>
    <w:rsid w:val="004D64A2"/>
    <w:rsid w:val="004E2878"/>
    <w:rsid w:val="004E3776"/>
    <w:rsid w:val="004F378D"/>
    <w:rsid w:val="004F72CD"/>
    <w:rsid w:val="004F7E34"/>
    <w:rsid w:val="00504B63"/>
    <w:rsid w:val="005057CF"/>
    <w:rsid w:val="005117E2"/>
    <w:rsid w:val="0051316D"/>
    <w:rsid w:val="00516D01"/>
    <w:rsid w:val="00517469"/>
    <w:rsid w:val="00517A5D"/>
    <w:rsid w:val="0053038B"/>
    <w:rsid w:val="005305E8"/>
    <w:rsid w:val="005343D2"/>
    <w:rsid w:val="0053726A"/>
    <w:rsid w:val="00544AD8"/>
    <w:rsid w:val="005572D0"/>
    <w:rsid w:val="005747F8"/>
    <w:rsid w:val="005776B6"/>
    <w:rsid w:val="005A241E"/>
    <w:rsid w:val="005A4FFC"/>
    <w:rsid w:val="005B0221"/>
    <w:rsid w:val="005B1D67"/>
    <w:rsid w:val="005B2815"/>
    <w:rsid w:val="005C1BD7"/>
    <w:rsid w:val="005C5601"/>
    <w:rsid w:val="005C58C1"/>
    <w:rsid w:val="005C624F"/>
    <w:rsid w:val="005D2097"/>
    <w:rsid w:val="005D5F93"/>
    <w:rsid w:val="005D7F4E"/>
    <w:rsid w:val="005F19FF"/>
    <w:rsid w:val="005F3C1B"/>
    <w:rsid w:val="005F746A"/>
    <w:rsid w:val="0060037B"/>
    <w:rsid w:val="00625DC1"/>
    <w:rsid w:val="00626715"/>
    <w:rsid w:val="00630CB8"/>
    <w:rsid w:val="00631D4E"/>
    <w:rsid w:val="00633155"/>
    <w:rsid w:val="0064544B"/>
    <w:rsid w:val="00653EF3"/>
    <w:rsid w:val="006600BF"/>
    <w:rsid w:val="00664D37"/>
    <w:rsid w:val="00667993"/>
    <w:rsid w:val="006741D8"/>
    <w:rsid w:val="0067749F"/>
    <w:rsid w:val="00692254"/>
    <w:rsid w:val="006B3F1A"/>
    <w:rsid w:val="006D45E9"/>
    <w:rsid w:val="006E10F0"/>
    <w:rsid w:val="006E19FD"/>
    <w:rsid w:val="00700AC9"/>
    <w:rsid w:val="00702DE8"/>
    <w:rsid w:val="007059C0"/>
    <w:rsid w:val="0071457A"/>
    <w:rsid w:val="0072633D"/>
    <w:rsid w:val="007301B2"/>
    <w:rsid w:val="00743A42"/>
    <w:rsid w:val="00744BC5"/>
    <w:rsid w:val="007638DF"/>
    <w:rsid w:val="0076793B"/>
    <w:rsid w:val="00776499"/>
    <w:rsid w:val="00791101"/>
    <w:rsid w:val="007934DB"/>
    <w:rsid w:val="007A008F"/>
    <w:rsid w:val="007A15AF"/>
    <w:rsid w:val="007C421F"/>
    <w:rsid w:val="007C54DC"/>
    <w:rsid w:val="007C6425"/>
    <w:rsid w:val="007C644B"/>
    <w:rsid w:val="007E4A2F"/>
    <w:rsid w:val="007E7498"/>
    <w:rsid w:val="00810347"/>
    <w:rsid w:val="00814FD0"/>
    <w:rsid w:val="00815A3D"/>
    <w:rsid w:val="00817B85"/>
    <w:rsid w:val="0083746D"/>
    <w:rsid w:val="008467CF"/>
    <w:rsid w:val="00860954"/>
    <w:rsid w:val="00862575"/>
    <w:rsid w:val="00865C6F"/>
    <w:rsid w:val="00866355"/>
    <w:rsid w:val="00891C37"/>
    <w:rsid w:val="00896F24"/>
    <w:rsid w:val="008A1B56"/>
    <w:rsid w:val="008A4CCF"/>
    <w:rsid w:val="008A58CF"/>
    <w:rsid w:val="008A6ECB"/>
    <w:rsid w:val="008A72B9"/>
    <w:rsid w:val="008A7BBF"/>
    <w:rsid w:val="008B283D"/>
    <w:rsid w:val="008B345E"/>
    <w:rsid w:val="008B6F55"/>
    <w:rsid w:val="008C7260"/>
    <w:rsid w:val="008D05E8"/>
    <w:rsid w:val="008D1A95"/>
    <w:rsid w:val="008D3A02"/>
    <w:rsid w:val="008D7463"/>
    <w:rsid w:val="008E2204"/>
    <w:rsid w:val="008E5358"/>
    <w:rsid w:val="008F5B6A"/>
    <w:rsid w:val="009047DA"/>
    <w:rsid w:val="00904D84"/>
    <w:rsid w:val="00906922"/>
    <w:rsid w:val="00921118"/>
    <w:rsid w:val="00925C04"/>
    <w:rsid w:val="0092707C"/>
    <w:rsid w:val="00930E65"/>
    <w:rsid w:val="009335FA"/>
    <w:rsid w:val="0093557F"/>
    <w:rsid w:val="0095741F"/>
    <w:rsid w:val="00961D17"/>
    <w:rsid w:val="00966A15"/>
    <w:rsid w:val="00985F2B"/>
    <w:rsid w:val="009B1786"/>
    <w:rsid w:val="009B34C6"/>
    <w:rsid w:val="009B5BFE"/>
    <w:rsid w:val="009C0242"/>
    <w:rsid w:val="009C655E"/>
    <w:rsid w:val="009D0209"/>
    <w:rsid w:val="009D71A7"/>
    <w:rsid w:val="009D76EF"/>
    <w:rsid w:val="009E09EA"/>
    <w:rsid w:val="009E32AC"/>
    <w:rsid w:val="009E7305"/>
    <w:rsid w:val="009F4A25"/>
    <w:rsid w:val="009F56A2"/>
    <w:rsid w:val="009F5FF3"/>
    <w:rsid w:val="00A02A84"/>
    <w:rsid w:val="00A038F4"/>
    <w:rsid w:val="00A06813"/>
    <w:rsid w:val="00A0764C"/>
    <w:rsid w:val="00A10094"/>
    <w:rsid w:val="00A12B2C"/>
    <w:rsid w:val="00A14B8E"/>
    <w:rsid w:val="00A25471"/>
    <w:rsid w:val="00A27D7A"/>
    <w:rsid w:val="00A32FA2"/>
    <w:rsid w:val="00A3519B"/>
    <w:rsid w:val="00A51DA9"/>
    <w:rsid w:val="00A5695E"/>
    <w:rsid w:val="00A658D5"/>
    <w:rsid w:val="00A76E8E"/>
    <w:rsid w:val="00A77890"/>
    <w:rsid w:val="00A77F30"/>
    <w:rsid w:val="00A862C8"/>
    <w:rsid w:val="00A91803"/>
    <w:rsid w:val="00A951C1"/>
    <w:rsid w:val="00AA30F2"/>
    <w:rsid w:val="00AA6165"/>
    <w:rsid w:val="00AB1F50"/>
    <w:rsid w:val="00AB5259"/>
    <w:rsid w:val="00AB7C44"/>
    <w:rsid w:val="00AC42D4"/>
    <w:rsid w:val="00AC7D9B"/>
    <w:rsid w:val="00AD0CC3"/>
    <w:rsid w:val="00AE0283"/>
    <w:rsid w:val="00AE2A0D"/>
    <w:rsid w:val="00AE4B96"/>
    <w:rsid w:val="00AE6EB0"/>
    <w:rsid w:val="00AF07BD"/>
    <w:rsid w:val="00AF5812"/>
    <w:rsid w:val="00AF7887"/>
    <w:rsid w:val="00B11C1B"/>
    <w:rsid w:val="00B12348"/>
    <w:rsid w:val="00B128B6"/>
    <w:rsid w:val="00B27B81"/>
    <w:rsid w:val="00B315E1"/>
    <w:rsid w:val="00B316AB"/>
    <w:rsid w:val="00B3295D"/>
    <w:rsid w:val="00B43F72"/>
    <w:rsid w:val="00B5233E"/>
    <w:rsid w:val="00B567E6"/>
    <w:rsid w:val="00B66568"/>
    <w:rsid w:val="00B725C8"/>
    <w:rsid w:val="00B91F2D"/>
    <w:rsid w:val="00B95565"/>
    <w:rsid w:val="00BA285E"/>
    <w:rsid w:val="00BB2A95"/>
    <w:rsid w:val="00BB4385"/>
    <w:rsid w:val="00BB55BE"/>
    <w:rsid w:val="00BB571F"/>
    <w:rsid w:val="00BB59A0"/>
    <w:rsid w:val="00BC2E59"/>
    <w:rsid w:val="00BF05E7"/>
    <w:rsid w:val="00BF2DE8"/>
    <w:rsid w:val="00BF518E"/>
    <w:rsid w:val="00BF6480"/>
    <w:rsid w:val="00C02B9D"/>
    <w:rsid w:val="00C042AF"/>
    <w:rsid w:val="00C06F33"/>
    <w:rsid w:val="00C0762E"/>
    <w:rsid w:val="00C078CB"/>
    <w:rsid w:val="00C1584E"/>
    <w:rsid w:val="00C25B8C"/>
    <w:rsid w:val="00C32FEE"/>
    <w:rsid w:val="00C34123"/>
    <w:rsid w:val="00C36711"/>
    <w:rsid w:val="00C40FCE"/>
    <w:rsid w:val="00C41D0A"/>
    <w:rsid w:val="00C43678"/>
    <w:rsid w:val="00C46C25"/>
    <w:rsid w:val="00C673F6"/>
    <w:rsid w:val="00C76E15"/>
    <w:rsid w:val="00C81700"/>
    <w:rsid w:val="00C958D5"/>
    <w:rsid w:val="00CA0691"/>
    <w:rsid w:val="00CA3597"/>
    <w:rsid w:val="00CB1B4D"/>
    <w:rsid w:val="00CD5D1C"/>
    <w:rsid w:val="00CE07F1"/>
    <w:rsid w:val="00CE188E"/>
    <w:rsid w:val="00CE55C0"/>
    <w:rsid w:val="00CE6FC9"/>
    <w:rsid w:val="00CE7A65"/>
    <w:rsid w:val="00CF4D48"/>
    <w:rsid w:val="00D0662C"/>
    <w:rsid w:val="00D07D41"/>
    <w:rsid w:val="00D10A79"/>
    <w:rsid w:val="00D12122"/>
    <w:rsid w:val="00D241CA"/>
    <w:rsid w:val="00D30208"/>
    <w:rsid w:val="00D31AA9"/>
    <w:rsid w:val="00D31DBB"/>
    <w:rsid w:val="00D34954"/>
    <w:rsid w:val="00D40DE1"/>
    <w:rsid w:val="00D446AC"/>
    <w:rsid w:val="00D5246B"/>
    <w:rsid w:val="00D52B91"/>
    <w:rsid w:val="00D552FE"/>
    <w:rsid w:val="00D56558"/>
    <w:rsid w:val="00D64399"/>
    <w:rsid w:val="00D733DE"/>
    <w:rsid w:val="00D86B1C"/>
    <w:rsid w:val="00D86C94"/>
    <w:rsid w:val="00D94D46"/>
    <w:rsid w:val="00DA4C21"/>
    <w:rsid w:val="00DA525D"/>
    <w:rsid w:val="00DA5BD5"/>
    <w:rsid w:val="00DB1B41"/>
    <w:rsid w:val="00DC03D4"/>
    <w:rsid w:val="00DD34A6"/>
    <w:rsid w:val="00DE2C1A"/>
    <w:rsid w:val="00DE4254"/>
    <w:rsid w:val="00DE58FF"/>
    <w:rsid w:val="00DE5C2C"/>
    <w:rsid w:val="00DE6B60"/>
    <w:rsid w:val="00DF54E2"/>
    <w:rsid w:val="00E0089F"/>
    <w:rsid w:val="00E01A04"/>
    <w:rsid w:val="00E11D7B"/>
    <w:rsid w:val="00E227EA"/>
    <w:rsid w:val="00E3032A"/>
    <w:rsid w:val="00E407F4"/>
    <w:rsid w:val="00E4438C"/>
    <w:rsid w:val="00E508AD"/>
    <w:rsid w:val="00E50C5A"/>
    <w:rsid w:val="00E52A88"/>
    <w:rsid w:val="00E54FEE"/>
    <w:rsid w:val="00E559FD"/>
    <w:rsid w:val="00E55D19"/>
    <w:rsid w:val="00E560CA"/>
    <w:rsid w:val="00E635D8"/>
    <w:rsid w:val="00E81AB0"/>
    <w:rsid w:val="00E838DE"/>
    <w:rsid w:val="00E870CD"/>
    <w:rsid w:val="00E93725"/>
    <w:rsid w:val="00E942EE"/>
    <w:rsid w:val="00EA0E66"/>
    <w:rsid w:val="00EA6CEA"/>
    <w:rsid w:val="00EB064B"/>
    <w:rsid w:val="00EB4E2C"/>
    <w:rsid w:val="00EB5893"/>
    <w:rsid w:val="00ED6667"/>
    <w:rsid w:val="00EE290F"/>
    <w:rsid w:val="00EF0424"/>
    <w:rsid w:val="00EF1C42"/>
    <w:rsid w:val="00EF1F23"/>
    <w:rsid w:val="00EF465C"/>
    <w:rsid w:val="00F0080E"/>
    <w:rsid w:val="00F04084"/>
    <w:rsid w:val="00F106EC"/>
    <w:rsid w:val="00F2331B"/>
    <w:rsid w:val="00F30121"/>
    <w:rsid w:val="00F36CB0"/>
    <w:rsid w:val="00F44DD5"/>
    <w:rsid w:val="00F46E72"/>
    <w:rsid w:val="00F54AA6"/>
    <w:rsid w:val="00F61752"/>
    <w:rsid w:val="00F76FA9"/>
    <w:rsid w:val="00F80A96"/>
    <w:rsid w:val="00F86A8A"/>
    <w:rsid w:val="00F87234"/>
    <w:rsid w:val="00F97AE4"/>
    <w:rsid w:val="00FA2C8B"/>
    <w:rsid w:val="00FA4DDF"/>
    <w:rsid w:val="00FB0F06"/>
    <w:rsid w:val="00FB2E13"/>
    <w:rsid w:val="00FB30EF"/>
    <w:rsid w:val="00FB4671"/>
    <w:rsid w:val="00FB5E10"/>
    <w:rsid w:val="00FC2344"/>
    <w:rsid w:val="00FC3B57"/>
    <w:rsid w:val="00FC4074"/>
    <w:rsid w:val="00FD309A"/>
    <w:rsid w:val="00FD6284"/>
    <w:rsid w:val="00FD757A"/>
    <w:rsid w:val="00FF0049"/>
    <w:rsid w:val="061D842D"/>
    <w:rsid w:val="273535DB"/>
    <w:rsid w:val="3542F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DFB5"/>
  <w15:chartTrackingRefBased/>
  <w15:docId w15:val="{9FC40F83-82C8-4AFA-BE6E-A7B7A650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62E"/>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5552"/>
    <w:pPr>
      <w:jc w:val="center"/>
    </w:pPr>
    <w:rPr>
      <w:rFonts w:ascii="Times New Roman" w:hAnsi="Times New Roman"/>
      <w:b/>
      <w:sz w:val="20"/>
    </w:rPr>
  </w:style>
  <w:style w:type="paragraph" w:styleId="Header">
    <w:name w:val="header"/>
    <w:basedOn w:val="Normal"/>
    <w:rsid w:val="00255552"/>
    <w:pPr>
      <w:tabs>
        <w:tab w:val="center" w:pos="4153"/>
        <w:tab w:val="right" w:pos="8306"/>
      </w:tabs>
    </w:pPr>
  </w:style>
  <w:style w:type="paragraph" w:styleId="Footer">
    <w:name w:val="footer"/>
    <w:basedOn w:val="Normal"/>
    <w:rsid w:val="00255552"/>
    <w:pPr>
      <w:tabs>
        <w:tab w:val="center" w:pos="4153"/>
        <w:tab w:val="right" w:pos="8306"/>
      </w:tabs>
    </w:pPr>
  </w:style>
  <w:style w:type="table" w:styleId="TableGrid">
    <w:name w:val="Table Grid"/>
    <w:basedOn w:val="TableNormal"/>
    <w:rsid w:val="00255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05579"/>
    <w:pPr>
      <w:jc w:val="center"/>
    </w:pPr>
    <w:rPr>
      <w:rFonts w:ascii="Times New Roman" w:hAnsi="Times New Roman"/>
      <w:b/>
      <w:sz w:val="28"/>
    </w:rPr>
  </w:style>
  <w:style w:type="character" w:styleId="PageNumber">
    <w:name w:val="page number"/>
    <w:basedOn w:val="DefaultParagraphFont"/>
    <w:rsid w:val="00027C69"/>
  </w:style>
  <w:style w:type="paragraph" w:styleId="FootnoteText">
    <w:name w:val="footnote text"/>
    <w:basedOn w:val="Normal"/>
    <w:link w:val="FootnoteTextChar"/>
    <w:rsid w:val="00B128B6"/>
    <w:rPr>
      <w:sz w:val="20"/>
    </w:rPr>
  </w:style>
  <w:style w:type="character" w:customStyle="1" w:styleId="FootnoteTextChar">
    <w:name w:val="Footnote Text Char"/>
    <w:link w:val="FootnoteText"/>
    <w:rsid w:val="00B128B6"/>
    <w:rPr>
      <w:rFonts w:ascii="Arial" w:hAnsi="Arial"/>
    </w:rPr>
  </w:style>
  <w:style w:type="character" w:styleId="FootnoteReference">
    <w:name w:val="footnote reference"/>
    <w:rsid w:val="00B128B6"/>
    <w:rPr>
      <w:vertAlign w:val="superscript"/>
    </w:rPr>
  </w:style>
  <w:style w:type="paragraph" w:styleId="ListParagraph">
    <w:name w:val="List Paragraph"/>
    <w:basedOn w:val="Normal"/>
    <w:uiPriority w:val="34"/>
    <w:qFormat/>
    <w:rsid w:val="001350D8"/>
    <w:pPr>
      <w:ind w:left="720"/>
      <w:contextualSpacing/>
    </w:pPr>
  </w:style>
  <w:style w:type="character" w:styleId="CommentReference">
    <w:name w:val="annotation reference"/>
    <w:basedOn w:val="DefaultParagraphFont"/>
    <w:rsid w:val="00E50C5A"/>
    <w:rPr>
      <w:sz w:val="16"/>
      <w:szCs w:val="16"/>
    </w:rPr>
  </w:style>
  <w:style w:type="paragraph" w:styleId="CommentText">
    <w:name w:val="annotation text"/>
    <w:basedOn w:val="Normal"/>
    <w:link w:val="CommentTextChar"/>
    <w:rsid w:val="00E50C5A"/>
    <w:rPr>
      <w:sz w:val="20"/>
    </w:rPr>
  </w:style>
  <w:style w:type="character" w:customStyle="1" w:styleId="CommentTextChar">
    <w:name w:val="Comment Text Char"/>
    <w:basedOn w:val="DefaultParagraphFont"/>
    <w:link w:val="CommentText"/>
    <w:rsid w:val="00E50C5A"/>
    <w:rPr>
      <w:rFonts w:ascii="Arial" w:hAnsi="Arial"/>
      <w:lang w:eastAsia="en-GB"/>
    </w:rPr>
  </w:style>
  <w:style w:type="paragraph" w:styleId="CommentSubject">
    <w:name w:val="annotation subject"/>
    <w:basedOn w:val="CommentText"/>
    <w:next w:val="CommentText"/>
    <w:link w:val="CommentSubjectChar"/>
    <w:rsid w:val="00E50C5A"/>
    <w:rPr>
      <w:b/>
      <w:bCs/>
    </w:rPr>
  </w:style>
  <w:style w:type="character" w:customStyle="1" w:styleId="CommentSubjectChar">
    <w:name w:val="Comment Subject Char"/>
    <w:basedOn w:val="CommentTextChar"/>
    <w:link w:val="CommentSubject"/>
    <w:rsid w:val="00E50C5A"/>
    <w:rPr>
      <w:rFonts w:ascii="Arial" w:hAnsi="Arial"/>
      <w:b/>
      <w:bCs/>
      <w:lang w:eastAsia="en-GB"/>
    </w:rPr>
  </w:style>
  <w:style w:type="paragraph" w:styleId="Revision">
    <w:name w:val="Revision"/>
    <w:hidden/>
    <w:uiPriority w:val="99"/>
    <w:semiHidden/>
    <w:rsid w:val="00E11D7B"/>
    <w:rPr>
      <w:rFonts w:ascii="Arial" w:hAnsi="Arial"/>
      <w:sz w:val="24"/>
      <w:lang w:eastAsia="en-GB"/>
    </w:rPr>
  </w:style>
  <w:style w:type="character" w:styleId="Hyperlink">
    <w:name w:val="Hyperlink"/>
    <w:basedOn w:val="DefaultParagraphFont"/>
    <w:rsid w:val="002C709C"/>
    <w:rPr>
      <w:color w:val="0563C1" w:themeColor="hyperlink"/>
      <w:u w:val="single"/>
    </w:rPr>
  </w:style>
  <w:style w:type="character" w:styleId="UnresolvedMention">
    <w:name w:val="Unresolved Mention"/>
    <w:basedOn w:val="DefaultParagraphFont"/>
    <w:uiPriority w:val="99"/>
    <w:semiHidden/>
    <w:unhideWhenUsed/>
    <w:rsid w:val="002C7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9074">
      <w:bodyDiv w:val="1"/>
      <w:marLeft w:val="0"/>
      <w:marRight w:val="0"/>
      <w:marTop w:val="0"/>
      <w:marBottom w:val="0"/>
      <w:divBdr>
        <w:top w:val="none" w:sz="0" w:space="0" w:color="auto"/>
        <w:left w:val="none" w:sz="0" w:space="0" w:color="auto"/>
        <w:bottom w:val="none" w:sz="0" w:space="0" w:color="auto"/>
        <w:right w:val="none" w:sz="0" w:space="0" w:color="auto"/>
      </w:divBdr>
    </w:div>
    <w:div w:id="501235677">
      <w:bodyDiv w:val="1"/>
      <w:marLeft w:val="0"/>
      <w:marRight w:val="0"/>
      <w:marTop w:val="0"/>
      <w:marBottom w:val="0"/>
      <w:divBdr>
        <w:top w:val="none" w:sz="0" w:space="0" w:color="auto"/>
        <w:left w:val="none" w:sz="0" w:space="0" w:color="auto"/>
        <w:bottom w:val="none" w:sz="0" w:space="0" w:color="auto"/>
        <w:right w:val="none" w:sz="0" w:space="0" w:color="auto"/>
      </w:divBdr>
      <w:divsChild>
        <w:div w:id="311642978">
          <w:marLeft w:val="0"/>
          <w:marRight w:val="0"/>
          <w:marTop w:val="0"/>
          <w:marBottom w:val="0"/>
          <w:divBdr>
            <w:top w:val="none" w:sz="0" w:space="0" w:color="auto"/>
            <w:left w:val="none" w:sz="0" w:space="0" w:color="auto"/>
            <w:bottom w:val="none" w:sz="0" w:space="0" w:color="auto"/>
            <w:right w:val="none" w:sz="0" w:space="0" w:color="auto"/>
          </w:divBdr>
          <w:divsChild>
            <w:div w:id="1040128883">
              <w:marLeft w:val="0"/>
              <w:marRight w:val="0"/>
              <w:marTop w:val="0"/>
              <w:marBottom w:val="0"/>
              <w:divBdr>
                <w:top w:val="none" w:sz="0" w:space="0" w:color="auto"/>
                <w:left w:val="none" w:sz="0" w:space="0" w:color="auto"/>
                <w:bottom w:val="none" w:sz="0" w:space="0" w:color="auto"/>
                <w:right w:val="none" w:sz="0" w:space="0" w:color="auto"/>
              </w:divBdr>
              <w:divsChild>
                <w:div w:id="675619544">
                  <w:marLeft w:val="0"/>
                  <w:marRight w:val="0"/>
                  <w:marTop w:val="300"/>
                  <w:marBottom w:val="0"/>
                  <w:divBdr>
                    <w:top w:val="none" w:sz="0" w:space="0" w:color="auto"/>
                    <w:left w:val="none" w:sz="0" w:space="0" w:color="auto"/>
                    <w:bottom w:val="none" w:sz="0" w:space="0" w:color="auto"/>
                    <w:right w:val="none" w:sz="0" w:space="0" w:color="auto"/>
                  </w:divBdr>
                  <w:divsChild>
                    <w:div w:id="305359373">
                      <w:marLeft w:val="4125"/>
                      <w:marRight w:val="150"/>
                      <w:marTop w:val="0"/>
                      <w:marBottom w:val="0"/>
                      <w:divBdr>
                        <w:top w:val="none" w:sz="0" w:space="0" w:color="auto"/>
                        <w:left w:val="none" w:sz="0" w:space="0" w:color="auto"/>
                        <w:bottom w:val="none" w:sz="0" w:space="0" w:color="auto"/>
                        <w:right w:val="none" w:sz="0" w:space="0" w:color="auto"/>
                      </w:divBdr>
                      <w:divsChild>
                        <w:div w:id="1624842606">
                          <w:marLeft w:val="0"/>
                          <w:marRight w:val="0"/>
                          <w:marTop w:val="0"/>
                          <w:marBottom w:val="0"/>
                          <w:divBdr>
                            <w:top w:val="none" w:sz="0" w:space="0" w:color="auto"/>
                            <w:left w:val="none" w:sz="0" w:space="0" w:color="auto"/>
                            <w:bottom w:val="none" w:sz="0" w:space="0" w:color="auto"/>
                            <w:right w:val="none" w:sz="0" w:space="0" w:color="auto"/>
                          </w:divBdr>
                          <w:divsChild>
                            <w:div w:id="1437094353">
                              <w:marLeft w:val="0"/>
                              <w:marRight w:val="0"/>
                              <w:marTop w:val="0"/>
                              <w:marBottom w:val="450"/>
                              <w:divBdr>
                                <w:top w:val="none" w:sz="0" w:space="0" w:color="auto"/>
                                <w:left w:val="none" w:sz="0" w:space="0" w:color="auto"/>
                                <w:bottom w:val="none" w:sz="0" w:space="0" w:color="auto"/>
                                <w:right w:val="none" w:sz="0" w:space="0" w:color="auto"/>
                              </w:divBdr>
                              <w:divsChild>
                                <w:div w:id="849953946">
                                  <w:marLeft w:val="0"/>
                                  <w:marRight w:val="0"/>
                                  <w:marTop w:val="0"/>
                                  <w:marBottom w:val="0"/>
                                  <w:divBdr>
                                    <w:top w:val="none" w:sz="0" w:space="0" w:color="auto"/>
                                    <w:left w:val="none" w:sz="0" w:space="0" w:color="auto"/>
                                    <w:bottom w:val="none" w:sz="0" w:space="0" w:color="auto"/>
                                    <w:right w:val="none" w:sz="0" w:space="0" w:color="auto"/>
                                  </w:divBdr>
                                  <w:divsChild>
                                    <w:div w:id="1055813881">
                                      <w:marLeft w:val="0"/>
                                      <w:marRight w:val="0"/>
                                      <w:marTop w:val="0"/>
                                      <w:marBottom w:val="0"/>
                                      <w:divBdr>
                                        <w:top w:val="none" w:sz="0" w:space="0" w:color="auto"/>
                                        <w:left w:val="none" w:sz="0" w:space="0" w:color="auto"/>
                                        <w:bottom w:val="none" w:sz="0" w:space="0" w:color="auto"/>
                                        <w:right w:val="none" w:sz="0" w:space="0" w:color="auto"/>
                                      </w:divBdr>
                                      <w:divsChild>
                                        <w:div w:id="1103649336">
                                          <w:marLeft w:val="0"/>
                                          <w:marRight w:val="0"/>
                                          <w:marTop w:val="0"/>
                                          <w:marBottom w:val="0"/>
                                          <w:divBdr>
                                            <w:top w:val="none" w:sz="0" w:space="0" w:color="auto"/>
                                            <w:left w:val="none" w:sz="0" w:space="0" w:color="auto"/>
                                            <w:bottom w:val="none" w:sz="0" w:space="0" w:color="auto"/>
                                            <w:right w:val="none" w:sz="0" w:space="0" w:color="auto"/>
                                          </w:divBdr>
                                          <w:divsChild>
                                            <w:div w:id="2020741586">
                                              <w:marLeft w:val="0"/>
                                              <w:marRight w:val="0"/>
                                              <w:marTop w:val="0"/>
                                              <w:marBottom w:val="0"/>
                                              <w:divBdr>
                                                <w:top w:val="none" w:sz="0" w:space="0" w:color="auto"/>
                                                <w:left w:val="none" w:sz="0" w:space="0" w:color="auto"/>
                                                <w:bottom w:val="none" w:sz="0" w:space="0" w:color="auto"/>
                                                <w:right w:val="none" w:sz="0" w:space="0" w:color="auto"/>
                                              </w:divBdr>
                                              <w:divsChild>
                                                <w:div w:id="844438883">
                                                  <w:marLeft w:val="0"/>
                                                  <w:marRight w:val="0"/>
                                                  <w:marTop w:val="0"/>
                                                  <w:marBottom w:val="0"/>
                                                  <w:divBdr>
                                                    <w:top w:val="none" w:sz="0" w:space="0" w:color="auto"/>
                                                    <w:left w:val="none" w:sz="0" w:space="0" w:color="auto"/>
                                                    <w:bottom w:val="none" w:sz="0" w:space="0" w:color="auto"/>
                                                    <w:right w:val="none" w:sz="0" w:space="0" w:color="auto"/>
                                                  </w:divBdr>
                                                  <w:divsChild>
                                                    <w:div w:id="247227393">
                                                      <w:marLeft w:val="0"/>
                                                      <w:marRight w:val="0"/>
                                                      <w:marTop w:val="0"/>
                                                      <w:marBottom w:val="0"/>
                                                      <w:divBdr>
                                                        <w:top w:val="none" w:sz="0" w:space="0" w:color="auto"/>
                                                        <w:left w:val="none" w:sz="0" w:space="0" w:color="auto"/>
                                                        <w:bottom w:val="none" w:sz="0" w:space="0" w:color="auto"/>
                                                        <w:right w:val="none" w:sz="0" w:space="0" w:color="auto"/>
                                                      </w:divBdr>
                                                      <w:divsChild>
                                                        <w:div w:id="677080265">
                                                          <w:marLeft w:val="0"/>
                                                          <w:marRight w:val="0"/>
                                                          <w:marTop w:val="0"/>
                                                          <w:marBottom w:val="0"/>
                                                          <w:divBdr>
                                                            <w:top w:val="none" w:sz="0" w:space="0" w:color="auto"/>
                                                            <w:left w:val="none" w:sz="0" w:space="0" w:color="auto"/>
                                                            <w:bottom w:val="none" w:sz="0" w:space="0" w:color="auto"/>
                                                            <w:right w:val="none" w:sz="0" w:space="0" w:color="auto"/>
                                                          </w:divBdr>
                                                          <w:divsChild>
                                                            <w:div w:id="1416901896">
                                                              <w:marLeft w:val="0"/>
                                                              <w:marRight w:val="0"/>
                                                              <w:marTop w:val="0"/>
                                                              <w:marBottom w:val="0"/>
                                                              <w:divBdr>
                                                                <w:top w:val="none" w:sz="0" w:space="0" w:color="auto"/>
                                                                <w:left w:val="none" w:sz="0" w:space="0" w:color="auto"/>
                                                                <w:bottom w:val="none" w:sz="0" w:space="0" w:color="auto"/>
                                                                <w:right w:val="none" w:sz="0" w:space="0" w:color="auto"/>
                                                              </w:divBdr>
                                                              <w:divsChild>
                                                                <w:div w:id="1234197876">
                                                                  <w:marLeft w:val="15"/>
                                                                  <w:marRight w:val="15"/>
                                                                  <w:marTop w:val="15"/>
                                                                  <w:marBottom w:val="15"/>
                                                                  <w:divBdr>
                                                                    <w:top w:val="none" w:sz="0" w:space="0" w:color="auto"/>
                                                                    <w:left w:val="none" w:sz="0" w:space="0" w:color="auto"/>
                                                                    <w:bottom w:val="none" w:sz="0" w:space="0" w:color="auto"/>
                                                                    <w:right w:val="none" w:sz="0" w:space="0" w:color="auto"/>
                                                                  </w:divBdr>
                                                                  <w:divsChild>
                                                                    <w:div w:id="39792552">
                                                                      <w:marLeft w:val="0"/>
                                                                      <w:marRight w:val="0"/>
                                                                      <w:marTop w:val="0"/>
                                                                      <w:marBottom w:val="0"/>
                                                                      <w:divBdr>
                                                                        <w:top w:val="none" w:sz="0" w:space="0" w:color="auto"/>
                                                                        <w:left w:val="none" w:sz="0" w:space="0" w:color="auto"/>
                                                                        <w:bottom w:val="none" w:sz="0" w:space="0" w:color="auto"/>
                                                                        <w:right w:val="none" w:sz="0" w:space="0" w:color="auto"/>
                                                                      </w:divBdr>
                                                                    </w:div>
                                                                    <w:div w:id="264846153">
                                                                      <w:marLeft w:val="0"/>
                                                                      <w:marRight w:val="0"/>
                                                                      <w:marTop w:val="0"/>
                                                                      <w:marBottom w:val="0"/>
                                                                      <w:divBdr>
                                                                        <w:top w:val="none" w:sz="0" w:space="0" w:color="auto"/>
                                                                        <w:left w:val="none" w:sz="0" w:space="0" w:color="auto"/>
                                                                        <w:bottom w:val="none" w:sz="0" w:space="0" w:color="auto"/>
                                                                        <w:right w:val="none" w:sz="0" w:space="0" w:color="auto"/>
                                                                      </w:divBdr>
                                                                    </w:div>
                                                                    <w:div w:id="434178492">
                                                                      <w:marLeft w:val="0"/>
                                                                      <w:marRight w:val="0"/>
                                                                      <w:marTop w:val="0"/>
                                                                      <w:marBottom w:val="0"/>
                                                                      <w:divBdr>
                                                                        <w:top w:val="none" w:sz="0" w:space="0" w:color="auto"/>
                                                                        <w:left w:val="none" w:sz="0" w:space="0" w:color="auto"/>
                                                                        <w:bottom w:val="none" w:sz="0" w:space="0" w:color="auto"/>
                                                                        <w:right w:val="none" w:sz="0" w:space="0" w:color="auto"/>
                                                                      </w:divBdr>
                                                                    </w:div>
                                                                    <w:div w:id="1066150284">
                                                                      <w:marLeft w:val="0"/>
                                                                      <w:marRight w:val="0"/>
                                                                      <w:marTop w:val="0"/>
                                                                      <w:marBottom w:val="0"/>
                                                                      <w:divBdr>
                                                                        <w:top w:val="none" w:sz="0" w:space="0" w:color="auto"/>
                                                                        <w:left w:val="none" w:sz="0" w:space="0" w:color="auto"/>
                                                                        <w:bottom w:val="none" w:sz="0" w:space="0" w:color="auto"/>
                                                                        <w:right w:val="none" w:sz="0" w:space="0" w:color="auto"/>
                                                                      </w:divBdr>
                                                                    </w:div>
                                                                    <w:div w:id="1275746090">
                                                                      <w:marLeft w:val="0"/>
                                                                      <w:marRight w:val="0"/>
                                                                      <w:marTop w:val="0"/>
                                                                      <w:marBottom w:val="0"/>
                                                                      <w:divBdr>
                                                                        <w:top w:val="none" w:sz="0" w:space="0" w:color="auto"/>
                                                                        <w:left w:val="none" w:sz="0" w:space="0" w:color="auto"/>
                                                                        <w:bottom w:val="none" w:sz="0" w:space="0" w:color="auto"/>
                                                                        <w:right w:val="none" w:sz="0" w:space="0" w:color="auto"/>
                                                                      </w:divBdr>
                                                                    </w:div>
                                                                    <w:div w:id="1729183930">
                                                                      <w:marLeft w:val="0"/>
                                                                      <w:marRight w:val="0"/>
                                                                      <w:marTop w:val="0"/>
                                                                      <w:marBottom w:val="0"/>
                                                                      <w:divBdr>
                                                                        <w:top w:val="none" w:sz="0" w:space="0" w:color="auto"/>
                                                                        <w:left w:val="none" w:sz="0" w:space="0" w:color="auto"/>
                                                                        <w:bottom w:val="none" w:sz="0" w:space="0" w:color="auto"/>
                                                                        <w:right w:val="none" w:sz="0" w:space="0" w:color="auto"/>
                                                                      </w:divBdr>
                                                                    </w:div>
                                                                    <w:div w:id="1850482671">
                                                                      <w:marLeft w:val="0"/>
                                                                      <w:marRight w:val="0"/>
                                                                      <w:marTop w:val="0"/>
                                                                      <w:marBottom w:val="200"/>
                                                                      <w:divBdr>
                                                                        <w:top w:val="none" w:sz="0" w:space="0" w:color="auto"/>
                                                                        <w:left w:val="none" w:sz="0" w:space="0" w:color="auto"/>
                                                                        <w:bottom w:val="none" w:sz="0" w:space="0" w:color="auto"/>
                                                                        <w:right w:val="none" w:sz="0" w:space="0" w:color="auto"/>
                                                                      </w:divBdr>
                                                                    </w:div>
                                                                    <w:div w:id="1975214466">
                                                                      <w:marLeft w:val="0"/>
                                                                      <w:marRight w:val="0"/>
                                                                      <w:marTop w:val="0"/>
                                                                      <w:marBottom w:val="0"/>
                                                                      <w:divBdr>
                                                                        <w:top w:val="none" w:sz="0" w:space="0" w:color="auto"/>
                                                                        <w:left w:val="none" w:sz="0" w:space="0" w:color="auto"/>
                                                                        <w:bottom w:val="none" w:sz="0" w:space="0" w:color="auto"/>
                                                                        <w:right w:val="none" w:sz="0" w:space="0" w:color="auto"/>
                                                                      </w:divBdr>
                                                                    </w:div>
                                                                    <w:div w:id="1998074315">
                                                                      <w:marLeft w:val="0"/>
                                                                      <w:marRight w:val="0"/>
                                                                      <w:marTop w:val="0"/>
                                                                      <w:marBottom w:val="0"/>
                                                                      <w:divBdr>
                                                                        <w:top w:val="none" w:sz="0" w:space="0" w:color="auto"/>
                                                                        <w:left w:val="none" w:sz="0" w:space="0" w:color="auto"/>
                                                                        <w:bottom w:val="none" w:sz="0" w:space="0" w:color="auto"/>
                                                                        <w:right w:val="none" w:sz="0" w:space="0" w:color="auto"/>
                                                                      </w:divBdr>
                                                                    </w:div>
                                                                    <w:div w:id="2040275687">
                                                                      <w:marLeft w:val="0"/>
                                                                      <w:marRight w:val="0"/>
                                                                      <w:marTop w:val="0"/>
                                                                      <w:marBottom w:val="0"/>
                                                                      <w:divBdr>
                                                                        <w:top w:val="none" w:sz="0" w:space="0" w:color="auto"/>
                                                                        <w:left w:val="none" w:sz="0" w:space="0" w:color="auto"/>
                                                                        <w:bottom w:val="none" w:sz="0" w:space="0" w:color="auto"/>
                                                                        <w:right w:val="none" w:sz="0" w:space="0" w:color="auto"/>
                                                                      </w:divBdr>
                                                                    </w:div>
                                                                    <w:div w:id="20875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5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ph.org.uk/media/mn4ntw4g/fph-working-from-home-guidan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26FD5C3D3DFC479F07E3B163613CB4" ma:contentTypeVersion="18" ma:contentTypeDescription="Create a new document." ma:contentTypeScope="" ma:versionID="7dba402a60475d5bb51eead601801a2b">
  <xsd:schema xmlns:xsd="http://www.w3.org/2001/XMLSchema" xmlns:xs="http://www.w3.org/2001/XMLSchema" xmlns:p="http://schemas.microsoft.com/office/2006/metadata/properties" xmlns:ns2="5e396c49-d1b4-4b03-8e72-f39e147a88bd" xmlns:ns3="214f5354-c892-4174-8c3e-45a9cf8c5697" targetNamespace="http://schemas.microsoft.com/office/2006/metadata/properties" ma:root="true" ma:fieldsID="86337fba2b401b26d6bfce4ac79dc5b8" ns2:_="" ns3:_="">
    <xsd:import namespace="5e396c49-d1b4-4b03-8e72-f39e147a88bd"/>
    <xsd:import namespace="214f5354-c892-4174-8c3e-45a9cf8c5697"/>
    <xsd:element name="properties">
      <xsd:complexType>
        <xsd:sequence>
          <xsd:element name="documentManagement">
            <xsd:complexType>
              <xsd:all>
                <xsd:element ref="ns2:View" minOccurs="0"/>
                <xsd:element ref="ns2:DocumentType" minOccurs="0"/>
                <xsd:element ref="ns2:DocumentOwner" minOccurs="0"/>
                <xsd:element ref="ns2:DocumentReviewDate"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Statu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96c49-d1b4-4b03-8e72-f39e147a88bd" elementFormDefault="qualified">
    <xsd:import namespace="http://schemas.microsoft.com/office/2006/documentManagement/types"/>
    <xsd:import namespace="http://schemas.microsoft.com/office/infopath/2007/PartnerControls"/>
    <xsd:element name="View" ma:index="8" nillable="true" ma:displayName="View" ma:format="Dropdown" ma:internalName="View">
      <xsd:simpleType>
        <xsd:restriction base="dms:Choice">
          <xsd:enumeration value="Benefits/Recognition"/>
          <xsd:enumeration value="Employee Absence"/>
          <xsd:enumeration value="Apprenticeship"/>
          <xsd:enumeration value="Recruitment"/>
          <xsd:enumeration value="Wellbeing"/>
          <xsd:enumeration value="Health and Safety"/>
          <xsd:enumeration value="Payroll"/>
          <xsd:enumeration value="Salaries/Pay"/>
          <xsd:enumeration value="Change Management"/>
          <xsd:enumeration value="Job Evaluation"/>
          <xsd:enumeration value="Family Friendly Leave"/>
          <xsd:enumeration value="Annual leave / Flexible working"/>
          <xsd:enumeration value="Service redesign"/>
          <xsd:enumeration value="Employee Leaving SCC"/>
          <xsd:enumeration value="Employee relations"/>
          <xsd:enumeration value="Health &amp; Safety"/>
          <xsd:enumeration value="DBS"/>
          <xsd:enumeration value="Behavioural interviews"/>
          <xsd:enumeration value="Succession planning"/>
          <xsd:enumeration value="MeLearning"/>
          <xsd:enumeration value="Performance Management &amp; Developmental conversations"/>
          <xsd:enumeration value="Work Experience"/>
        </xsd:restriction>
      </xsd:simpleType>
    </xsd:element>
    <xsd:element name="DocumentType" ma:index="9" nillable="true" ma:displayName="Document Type" ma:format="Dropdown" ma:internalName="DocumentType">
      <xsd:simpleType>
        <xsd:restriction base="dms:Choice">
          <xsd:enumeration value="Policy"/>
          <xsd:enumeration value="Guidance"/>
          <xsd:enumeration value="Framework"/>
          <xsd:enumeration value="Other"/>
        </xsd:restriction>
      </xsd:simpleType>
    </xsd:element>
    <xsd:element name="DocumentOwner" ma:index="10"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ReviewDate" ma:index="11" nillable="true" ma:displayName="Document Review Date" ma:format="DateOnly" ma:internalName="DocumentReviewDate">
      <xsd:simpleType>
        <xsd:restriction base="dms:DateTim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Status" ma:index="23" nillable="true" ma:displayName="Status" ma:description="Policies updated to be reviewed " ma:format="Dropdown" ma:internalName="Status">
      <xsd:simpleType>
        <xsd:restriction base="dms:Choice">
          <xsd:enumeration value="Updated"/>
          <xsd:enumeration value="to be reviewed"/>
          <xsd:enumeration value="Choice 3"/>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4f5354-c892-4174-8c3e-45a9cf8c5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616ea2-d8cb-4758-b0d4-578295082094}" ma:internalName="TaxCatchAll" ma:showField="CatchAllData" ma:web="214f5354-c892-4174-8c3e-45a9cf8c5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iew xmlns="5e396c49-d1b4-4b03-8e72-f39e147a88bd">Job Evaluation</View>
    <DocumentReviewDate xmlns="5e396c49-d1b4-4b03-8e72-f39e147a88bd" xsi:nil="true"/>
    <DocumentOwner xmlns="5e396c49-d1b4-4b03-8e72-f39e147a88bd">
      <UserInfo>
        <DisplayName>Helen Brand</DisplayName>
        <AccountId>66</AccountId>
        <AccountType/>
      </UserInfo>
    </DocumentOwner>
    <DocumentType xmlns="5e396c49-d1b4-4b03-8e72-f39e147a88bd">Guidance</DocumentType>
    <lcf76f155ced4ddcb4097134ff3c332f xmlns="5e396c49-d1b4-4b03-8e72-f39e147a88bd">
      <Terms xmlns="http://schemas.microsoft.com/office/infopath/2007/PartnerControls"/>
    </lcf76f155ced4ddcb4097134ff3c332f>
    <Status xmlns="5e396c49-d1b4-4b03-8e72-f39e147a88bd">Updated</Status>
    <TaxCatchAll xmlns="214f5354-c892-4174-8c3e-45a9cf8c5697" xsi:nil="true"/>
  </documentManagement>
</p:properties>
</file>

<file path=customXml/itemProps1.xml><?xml version="1.0" encoding="utf-8"?>
<ds:datastoreItem xmlns:ds="http://schemas.openxmlformats.org/officeDocument/2006/customXml" ds:itemID="{C3EAA72E-3206-46C0-AF45-09DC1882886F}">
  <ds:schemaRefs>
    <ds:schemaRef ds:uri="http://schemas.microsoft.com/sharepoint/v3/contenttype/forms"/>
  </ds:schemaRefs>
</ds:datastoreItem>
</file>

<file path=customXml/itemProps2.xml><?xml version="1.0" encoding="utf-8"?>
<ds:datastoreItem xmlns:ds="http://schemas.openxmlformats.org/officeDocument/2006/customXml" ds:itemID="{A198D918-2DFE-446C-9EAA-369E0A379273}">
  <ds:schemaRefs>
    <ds:schemaRef ds:uri="http://schemas.openxmlformats.org/officeDocument/2006/bibliography"/>
  </ds:schemaRefs>
</ds:datastoreItem>
</file>

<file path=customXml/itemProps3.xml><?xml version="1.0" encoding="utf-8"?>
<ds:datastoreItem xmlns:ds="http://schemas.openxmlformats.org/officeDocument/2006/customXml" ds:itemID="{FEFCED15-3BA9-4657-9038-F7F20AF5F164}">
  <ds:schemaRefs>
    <ds:schemaRef ds:uri="http://schemas.microsoft.com/office/2006/metadata/longProperties"/>
  </ds:schemaRefs>
</ds:datastoreItem>
</file>

<file path=customXml/itemProps4.xml><?xml version="1.0" encoding="utf-8"?>
<ds:datastoreItem xmlns:ds="http://schemas.openxmlformats.org/officeDocument/2006/customXml" ds:itemID="{5C3BB67B-4B23-4043-A9E4-B09F1697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96c49-d1b4-4b03-8e72-f39e147a88bd"/>
    <ds:schemaRef ds:uri="214f5354-c892-4174-8c3e-45a9cf8c5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CF7D88-9327-4149-8483-32012DFECA37}">
  <ds:schemaRefs>
    <ds:schemaRef ds:uri="http://schemas.microsoft.com/office/2006/metadata/properties"/>
    <ds:schemaRef ds:uri="http://schemas.microsoft.com/office/infopath/2007/PartnerControls"/>
    <ds:schemaRef ds:uri="5e396c49-d1b4-4b03-8e72-f39e147a88bd"/>
    <ds:schemaRef ds:uri="214f5354-c892-4174-8c3e-45a9cf8c5697"/>
  </ds:schemaRefs>
</ds:datastoreItem>
</file>

<file path=docMetadata/LabelInfo.xml><?xml version="1.0" encoding="utf-8"?>
<clbl:labelList xmlns:clbl="http://schemas.microsoft.com/office/2020/mipLabelMetadata">
  <clbl:label id="{dbdef096-33cf-496a-b62a-8c6ec8b50b14}" enabled="1" method="Privileged" siteId="{513aa9ea-00af-4720-a181-678d737878d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2770</Words>
  <Characters>15795</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SOUTHEND ON SEA BOROUGH COUNCIL</vt:lpstr>
    </vt:vector>
  </TitlesOfParts>
  <Company>Southend Borough Council</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 ON SEA BOROUGH COUNCIL</dc:title>
  <dc:subject/>
  <dc:creator>karen melville</dc:creator>
  <cp:keywords/>
  <cp:lastModifiedBy>Krishna Ramkhelawon</cp:lastModifiedBy>
  <cp:revision>2</cp:revision>
  <cp:lastPrinted>2019-07-10T22:01:00Z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 Order">
    <vt:lpwstr/>
  </property>
  <property fmtid="{D5CDD505-2E9C-101B-9397-08002B2CF9AE}" pid="4" name="Order">
    <vt:lpwstr>49800.0000000000</vt:lpwstr>
  </property>
  <property fmtid="{D5CDD505-2E9C-101B-9397-08002B2CF9AE}" pid="5" name="Category">
    <vt:lpwstr>Recruitment Processes for Managers</vt:lpwstr>
  </property>
  <property fmtid="{D5CDD505-2E9C-101B-9397-08002B2CF9AE}" pid="6" name="View">
    <vt:lpwstr>Recruitment process</vt:lpwstr>
  </property>
  <property fmtid="{D5CDD505-2E9C-101B-9397-08002B2CF9AE}" pid="7" name="display_urn:schemas-microsoft-com:office:office#SharedWithUsers">
    <vt:lpwstr>Alan Mordue</vt:lpwstr>
  </property>
  <property fmtid="{D5CDD505-2E9C-101B-9397-08002B2CF9AE}" pid="8" name="SharedWithUsers">
    <vt:lpwstr>610;#Alan Mordue</vt:lpwstr>
  </property>
  <property fmtid="{D5CDD505-2E9C-101B-9397-08002B2CF9AE}" pid="9" name="ContentTypeId">
    <vt:lpwstr>0x0101009626FD5C3D3DFC479F07E3B163613CB4</vt:lpwstr>
  </property>
  <property fmtid="{D5CDD505-2E9C-101B-9397-08002B2CF9AE}" pid="10" name="MediaServiceImageTags">
    <vt:lpwstr/>
  </property>
  <property fmtid="{D5CDD505-2E9C-101B-9397-08002B2CF9AE}" pid="11" name="MSIP_Label_dbdef096-33cf-496a-b62a-8c6ec8b50b14_Enabled">
    <vt:lpwstr>True</vt:lpwstr>
  </property>
  <property fmtid="{D5CDD505-2E9C-101B-9397-08002B2CF9AE}" pid="12" name="MSIP_Label_dbdef096-33cf-496a-b62a-8c6ec8b50b14_SiteId">
    <vt:lpwstr>513aa9ea-00af-4720-a181-678d737878de</vt:lpwstr>
  </property>
  <property fmtid="{D5CDD505-2E9C-101B-9397-08002B2CF9AE}" pid="13" name="MSIP_Label_dbdef096-33cf-496a-b62a-8c6ec8b50b14_SetDate">
    <vt:lpwstr>2025-03-26T16:50:49Z</vt:lpwstr>
  </property>
  <property fmtid="{D5CDD505-2E9C-101B-9397-08002B2CF9AE}" pid="14" name="MSIP_Label_dbdef096-33cf-496a-b62a-8c6ec8b50b14_Name">
    <vt:lpwstr>defa4170-0d19-0005-0002-bc88714345d2</vt:lpwstr>
  </property>
  <property fmtid="{D5CDD505-2E9C-101B-9397-08002B2CF9AE}" pid="15" name="MSIP_Label_dbdef096-33cf-496a-b62a-8c6ec8b50b14_ActionId">
    <vt:lpwstr>c2a58918-c1c6-44a0-a3ef-a4e44912e2e4</vt:lpwstr>
  </property>
  <property fmtid="{D5CDD505-2E9C-101B-9397-08002B2CF9AE}" pid="16" name="MSIP_Label_dbdef096-33cf-496a-b62a-8c6ec8b50b14_Removed">
    <vt:lpwstr>False</vt:lpwstr>
  </property>
  <property fmtid="{D5CDD505-2E9C-101B-9397-08002B2CF9AE}" pid="17" name="MSIP_Label_dbdef096-33cf-496a-b62a-8c6ec8b50b14_Extended_MSFT_Method">
    <vt:lpwstr>Privileged</vt:lpwstr>
  </property>
  <property fmtid="{D5CDD505-2E9C-101B-9397-08002B2CF9AE}" pid="18" name="Sensitivity">
    <vt:lpwstr>defa4170-0d19-0005-0002-bc88714345d2</vt:lpwstr>
  </property>
</Properties>
</file>