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CellSpacing w:w="14" w:type="dxa"/>
        <w:tblInd w:w="-624" w:type="dxa"/>
        <w:tblCellMar>
          <w:top w:w="57" w:type="dxa"/>
          <w:left w:w="57" w:type="dxa"/>
          <w:bottom w:w="57" w:type="dxa"/>
          <w:right w:w="57" w:type="dxa"/>
        </w:tblCellMar>
        <w:tblLook w:val="04A0" w:firstRow="1" w:lastRow="0" w:firstColumn="1" w:lastColumn="0" w:noHBand="0" w:noVBand="1"/>
      </w:tblPr>
      <w:tblGrid>
        <w:gridCol w:w="2028"/>
        <w:gridCol w:w="8320"/>
      </w:tblGrid>
      <w:tr w:rsidR="0044270B" w14:paraId="3B5F48D6" w14:textId="77777777" w:rsidTr="00C40DFC">
        <w:trPr>
          <w:trHeight w:val="463"/>
          <w:tblCellSpacing w:w="14" w:type="dxa"/>
        </w:trPr>
        <w:tc>
          <w:tcPr>
            <w:tcW w:w="10292" w:type="dxa"/>
            <w:gridSpan w:val="2"/>
            <w:shd w:val="clear" w:color="auto" w:fill="003679"/>
            <w:vAlign w:val="center"/>
          </w:tcPr>
          <w:p w14:paraId="3B5F48D5" w14:textId="032D6875" w:rsidR="0044270B" w:rsidRPr="009C0F72" w:rsidRDefault="0044270B" w:rsidP="00B70803">
            <w:pPr>
              <w:rPr>
                <w:b/>
              </w:rPr>
            </w:pPr>
            <w:r w:rsidRPr="007C4EF2">
              <w:rPr>
                <w:b/>
                <w:sz w:val="36"/>
                <w:szCs w:val="36"/>
              </w:rPr>
              <w:t xml:space="preserve">  </w:t>
            </w:r>
            <w:r w:rsidR="00EE7433" w:rsidRPr="007C4EF2">
              <w:rPr>
                <w:b/>
                <w:sz w:val="36"/>
                <w:szCs w:val="36"/>
              </w:rPr>
              <w:t>Job Description</w:t>
            </w:r>
          </w:p>
        </w:tc>
      </w:tr>
      <w:tr w:rsidR="0044270B" w14:paraId="3B5F48D8" w14:textId="77777777" w:rsidTr="00C40DFC">
        <w:trPr>
          <w:trHeight w:val="483"/>
          <w:tblCellSpacing w:w="14" w:type="dxa"/>
        </w:trPr>
        <w:tc>
          <w:tcPr>
            <w:tcW w:w="10292" w:type="dxa"/>
            <w:gridSpan w:val="2"/>
            <w:tcBorders>
              <w:top w:val="single" w:sz="4" w:space="0" w:color="919EC5"/>
              <w:left w:val="single" w:sz="4" w:space="0" w:color="919EC5"/>
              <w:bottom w:val="single" w:sz="4" w:space="0" w:color="919EC5"/>
              <w:right w:val="single" w:sz="4" w:space="0" w:color="919EC5"/>
            </w:tcBorders>
            <w:shd w:val="clear" w:color="auto" w:fill="DEEAF6" w:themeFill="accent1" w:themeFillTint="33"/>
            <w:vAlign w:val="center"/>
          </w:tcPr>
          <w:p w14:paraId="3B5F48D7" w14:textId="77777777" w:rsidR="0044270B" w:rsidRPr="00CF1FB1" w:rsidRDefault="0044270B" w:rsidP="00B70803">
            <w:pPr>
              <w:rPr>
                <w:b/>
              </w:rPr>
            </w:pPr>
            <w:r w:rsidRPr="00CF1FB1">
              <w:rPr>
                <w:b/>
              </w:rPr>
              <w:t>Job Details</w:t>
            </w:r>
          </w:p>
        </w:tc>
      </w:tr>
      <w:tr w:rsidR="0044270B" w14:paraId="3B5F48DB" w14:textId="77777777" w:rsidTr="00C40DFC">
        <w:trPr>
          <w:trHeight w:val="493"/>
          <w:tblCellSpacing w:w="14" w:type="dxa"/>
        </w:trPr>
        <w:tc>
          <w:tcPr>
            <w:tcW w:w="1986"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3B5F48D9" w14:textId="77777777" w:rsidR="0044270B" w:rsidRPr="00CF1FB1" w:rsidRDefault="0044270B" w:rsidP="00B70803">
            <w:pPr>
              <w:rPr>
                <w:b/>
                <w:sz w:val="20"/>
              </w:rPr>
            </w:pPr>
            <w:r w:rsidRPr="00CF1FB1">
              <w:rPr>
                <w:b/>
                <w:sz w:val="20"/>
              </w:rPr>
              <w:t xml:space="preserve">  Post Title</w:t>
            </w:r>
          </w:p>
        </w:tc>
        <w:tc>
          <w:tcPr>
            <w:tcW w:w="8278" w:type="dxa"/>
            <w:tcBorders>
              <w:top w:val="single" w:sz="4" w:space="0" w:color="70C165"/>
              <w:left w:val="single" w:sz="4" w:space="0" w:color="70C165"/>
              <w:bottom w:val="single" w:sz="4" w:space="0" w:color="70C165"/>
              <w:right w:val="single" w:sz="4" w:space="0" w:color="70C165"/>
            </w:tcBorders>
            <w:shd w:val="clear" w:color="auto" w:fill="auto"/>
            <w:vAlign w:val="center"/>
          </w:tcPr>
          <w:p w14:paraId="3B5F48DA" w14:textId="687DEA5F" w:rsidR="0044270B" w:rsidRPr="002C7698" w:rsidRDefault="00E84140" w:rsidP="00C05E30">
            <w:pPr>
              <w:widowControl w:val="0"/>
              <w:autoSpaceDE w:val="0"/>
              <w:autoSpaceDN w:val="0"/>
              <w:adjustRightInd w:val="0"/>
              <w:rPr>
                <w:rFonts w:cs="Arial"/>
                <w:bCs/>
                <w:sz w:val="24"/>
                <w:szCs w:val="24"/>
              </w:rPr>
            </w:pPr>
            <w:r>
              <w:rPr>
                <w:rFonts w:cs="Arial"/>
                <w:bCs/>
                <w:sz w:val="24"/>
                <w:szCs w:val="24"/>
              </w:rPr>
              <w:t xml:space="preserve">Head of Governance </w:t>
            </w:r>
          </w:p>
        </w:tc>
      </w:tr>
      <w:tr w:rsidR="0044270B" w14:paraId="3B5F48DE" w14:textId="77777777" w:rsidTr="00C40DFC">
        <w:trPr>
          <w:trHeight w:val="545"/>
          <w:tblCellSpacing w:w="14" w:type="dxa"/>
        </w:trPr>
        <w:tc>
          <w:tcPr>
            <w:tcW w:w="1986"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3B5F48DC" w14:textId="77777777" w:rsidR="0044270B" w:rsidRPr="00CF1FB1" w:rsidRDefault="0044270B" w:rsidP="00B70803">
            <w:pPr>
              <w:rPr>
                <w:b/>
                <w:sz w:val="20"/>
              </w:rPr>
            </w:pPr>
            <w:r w:rsidRPr="00CF1FB1">
              <w:rPr>
                <w:b/>
                <w:sz w:val="20"/>
              </w:rPr>
              <w:t xml:space="preserve">  Responsible to</w:t>
            </w:r>
          </w:p>
        </w:tc>
        <w:tc>
          <w:tcPr>
            <w:tcW w:w="8278" w:type="dxa"/>
            <w:tcBorders>
              <w:top w:val="single" w:sz="4" w:space="0" w:color="70C165"/>
              <w:left w:val="single" w:sz="4" w:space="0" w:color="70C165"/>
              <w:bottom w:val="single" w:sz="4" w:space="0" w:color="70C165"/>
              <w:right w:val="single" w:sz="4" w:space="0" w:color="70C165"/>
            </w:tcBorders>
            <w:shd w:val="clear" w:color="auto" w:fill="auto"/>
            <w:vAlign w:val="center"/>
          </w:tcPr>
          <w:p w14:paraId="3B5F48DD" w14:textId="2C82067B" w:rsidR="0044270B" w:rsidRPr="002C7698" w:rsidRDefault="00477CA9" w:rsidP="00B70803">
            <w:r w:rsidRPr="002C7698">
              <w:t>CEO</w:t>
            </w:r>
          </w:p>
        </w:tc>
      </w:tr>
      <w:tr w:rsidR="0044270B" w14:paraId="3B5F48E0" w14:textId="77777777" w:rsidTr="00C40DFC">
        <w:trPr>
          <w:trHeight w:val="533"/>
          <w:tblCellSpacing w:w="14" w:type="dxa"/>
        </w:trPr>
        <w:tc>
          <w:tcPr>
            <w:tcW w:w="10292" w:type="dxa"/>
            <w:gridSpan w:val="2"/>
            <w:tcBorders>
              <w:top w:val="single" w:sz="4" w:space="0" w:color="919EC5"/>
              <w:left w:val="single" w:sz="4" w:space="0" w:color="919EC5"/>
              <w:bottom w:val="single" w:sz="4" w:space="0" w:color="919EC5"/>
              <w:right w:val="single" w:sz="4" w:space="0" w:color="919EC5"/>
            </w:tcBorders>
            <w:shd w:val="clear" w:color="auto" w:fill="DEEAF6" w:themeFill="accent1" w:themeFillTint="33"/>
            <w:vAlign w:val="center"/>
          </w:tcPr>
          <w:p w14:paraId="3B5F48DF" w14:textId="77777777" w:rsidR="0044270B" w:rsidRPr="00CF1FB1" w:rsidRDefault="0044270B" w:rsidP="00B70803">
            <w:pPr>
              <w:rPr>
                <w:b/>
              </w:rPr>
            </w:pPr>
            <w:r w:rsidRPr="00CF1FB1">
              <w:rPr>
                <w:b/>
              </w:rPr>
              <w:t>Purpose of job</w:t>
            </w:r>
          </w:p>
        </w:tc>
      </w:tr>
      <w:tr w:rsidR="0044270B" w14:paraId="3B5F48E3" w14:textId="77777777" w:rsidTr="00C40DFC">
        <w:trPr>
          <w:trHeight w:val="469"/>
          <w:tblCellSpacing w:w="14" w:type="dxa"/>
        </w:trPr>
        <w:tc>
          <w:tcPr>
            <w:tcW w:w="10292" w:type="dxa"/>
            <w:gridSpan w:val="2"/>
            <w:tcBorders>
              <w:top w:val="single" w:sz="4" w:space="0" w:color="70C165"/>
              <w:left w:val="single" w:sz="4" w:space="0" w:color="70C165"/>
              <w:bottom w:val="single" w:sz="4" w:space="0" w:color="70C165"/>
              <w:right w:val="single" w:sz="4" w:space="0" w:color="70C165"/>
            </w:tcBorders>
            <w:shd w:val="clear" w:color="auto" w:fill="auto"/>
          </w:tcPr>
          <w:p w14:paraId="6F5B69AB" w14:textId="5FB1810B" w:rsidR="00A16407" w:rsidRPr="00F40116" w:rsidRDefault="00A16407" w:rsidP="00F40116">
            <w:pPr>
              <w:rPr>
                <w:color w:val="000000" w:themeColor="text1"/>
              </w:rPr>
            </w:pPr>
            <w:r w:rsidRPr="00F40116">
              <w:rPr>
                <w:color w:val="000000" w:themeColor="text1"/>
              </w:rPr>
              <w:t xml:space="preserve">The </w:t>
            </w:r>
            <w:r w:rsidR="004E4B25">
              <w:rPr>
                <w:color w:val="000000" w:themeColor="text1"/>
              </w:rPr>
              <w:t xml:space="preserve">Head of Governance </w:t>
            </w:r>
            <w:r w:rsidRPr="00F40116">
              <w:rPr>
                <w:color w:val="000000" w:themeColor="text1"/>
              </w:rPr>
              <w:t>is responsible for overseeing all aspects of governance effectiveness and compliance within the Trust, ensuring governance adheres to good practice and meets all statutory and regulatory requirements. This will be achieved by:</w:t>
            </w:r>
          </w:p>
          <w:p w14:paraId="20F1A508" w14:textId="37B06035" w:rsidR="00A16407" w:rsidRPr="00A16407" w:rsidRDefault="00A16407" w:rsidP="00F40116">
            <w:pPr>
              <w:pStyle w:val="ListParagraph"/>
              <w:numPr>
                <w:ilvl w:val="0"/>
                <w:numId w:val="33"/>
              </w:numPr>
              <w:rPr>
                <w:color w:val="000000" w:themeColor="text1"/>
              </w:rPr>
            </w:pPr>
            <w:r w:rsidRPr="00A16407">
              <w:rPr>
                <w:color w:val="000000" w:themeColor="text1"/>
              </w:rPr>
              <w:t xml:space="preserve">supporting the efficient and effective operation of the </w:t>
            </w:r>
            <w:r>
              <w:rPr>
                <w:color w:val="000000" w:themeColor="text1"/>
              </w:rPr>
              <w:t>T</w:t>
            </w:r>
            <w:r w:rsidRPr="00A16407">
              <w:rPr>
                <w:color w:val="000000" w:themeColor="text1"/>
              </w:rPr>
              <w:t xml:space="preserve">rust </w:t>
            </w:r>
            <w:r w:rsidR="00A55481">
              <w:rPr>
                <w:color w:val="000000" w:themeColor="text1"/>
              </w:rPr>
              <w:t>B</w:t>
            </w:r>
            <w:r w:rsidRPr="00A16407">
              <w:rPr>
                <w:color w:val="000000" w:themeColor="text1"/>
              </w:rPr>
              <w:t xml:space="preserve">oard, its </w:t>
            </w:r>
            <w:proofErr w:type="gramStart"/>
            <w:r w:rsidRPr="00A16407">
              <w:rPr>
                <w:color w:val="000000" w:themeColor="text1"/>
              </w:rPr>
              <w:t>committees</w:t>
            </w:r>
            <w:proofErr w:type="gramEnd"/>
            <w:r w:rsidRPr="00A16407">
              <w:rPr>
                <w:color w:val="000000" w:themeColor="text1"/>
              </w:rPr>
              <w:t xml:space="preserve"> and local </w:t>
            </w:r>
            <w:r>
              <w:rPr>
                <w:color w:val="000000" w:themeColor="text1"/>
              </w:rPr>
              <w:t>governing bodies</w:t>
            </w:r>
            <w:r w:rsidRPr="00A16407">
              <w:rPr>
                <w:color w:val="000000" w:themeColor="text1"/>
              </w:rPr>
              <w:t xml:space="preserve"> (L</w:t>
            </w:r>
            <w:r>
              <w:rPr>
                <w:color w:val="000000" w:themeColor="text1"/>
              </w:rPr>
              <w:t>G</w:t>
            </w:r>
            <w:r w:rsidRPr="00A16407">
              <w:rPr>
                <w:color w:val="000000" w:themeColor="text1"/>
              </w:rPr>
              <w:t>Bs)</w:t>
            </w:r>
          </w:p>
          <w:p w14:paraId="7154EA90" w14:textId="0467A999" w:rsidR="00A16407" w:rsidRPr="00A16407" w:rsidRDefault="00A16407" w:rsidP="00F40116">
            <w:pPr>
              <w:pStyle w:val="ListParagraph"/>
              <w:numPr>
                <w:ilvl w:val="0"/>
                <w:numId w:val="33"/>
              </w:numPr>
              <w:rPr>
                <w:color w:val="000000" w:themeColor="text1"/>
              </w:rPr>
            </w:pPr>
            <w:r w:rsidRPr="00A16407">
              <w:rPr>
                <w:color w:val="000000" w:themeColor="text1"/>
              </w:rPr>
              <w:t xml:space="preserve">leading on the development of the </w:t>
            </w:r>
            <w:r w:rsidR="00D07A0F">
              <w:rPr>
                <w:color w:val="000000" w:themeColor="text1"/>
              </w:rPr>
              <w:t>T</w:t>
            </w:r>
            <w:r w:rsidRPr="00A16407">
              <w:rPr>
                <w:color w:val="000000" w:themeColor="text1"/>
              </w:rPr>
              <w:t xml:space="preserve">rust’s governance framework and driving improvements to its systems, </w:t>
            </w:r>
            <w:proofErr w:type="gramStart"/>
            <w:r w:rsidRPr="00A16407">
              <w:rPr>
                <w:color w:val="000000" w:themeColor="text1"/>
              </w:rPr>
              <w:t>processes</w:t>
            </w:r>
            <w:proofErr w:type="gramEnd"/>
            <w:r w:rsidRPr="00A16407">
              <w:rPr>
                <w:color w:val="000000" w:themeColor="text1"/>
              </w:rPr>
              <w:t xml:space="preserve"> and structures</w:t>
            </w:r>
          </w:p>
          <w:p w14:paraId="36A4E482" w14:textId="733470B9" w:rsidR="0044270B" w:rsidRDefault="00A16407" w:rsidP="00F40116">
            <w:pPr>
              <w:pStyle w:val="ListParagraph"/>
              <w:numPr>
                <w:ilvl w:val="0"/>
                <w:numId w:val="33"/>
              </w:numPr>
            </w:pPr>
            <w:r w:rsidRPr="00A16407">
              <w:rPr>
                <w:color w:val="000000" w:themeColor="text1"/>
              </w:rPr>
              <w:t xml:space="preserve">managing and co-ordinating the delivery and ongoing improvement of governance support across the </w:t>
            </w:r>
            <w:r w:rsidR="00D07A0F">
              <w:rPr>
                <w:color w:val="000000" w:themeColor="text1"/>
              </w:rPr>
              <w:t>T</w:t>
            </w:r>
            <w:r w:rsidRPr="00A16407">
              <w:rPr>
                <w:color w:val="000000" w:themeColor="text1"/>
              </w:rPr>
              <w:t>rust</w:t>
            </w:r>
            <w:r w:rsidR="00DB6063">
              <w:rPr>
                <w:color w:val="000000" w:themeColor="text1"/>
              </w:rPr>
              <w:t>, including supporting internal and external audit</w:t>
            </w:r>
          </w:p>
          <w:p w14:paraId="704611E6" w14:textId="3B041BEA" w:rsidR="00F91B44" w:rsidRPr="00F91B44" w:rsidRDefault="00F91B44" w:rsidP="00F91B44">
            <w:pPr>
              <w:rPr>
                <w:color w:val="000000" w:themeColor="text1"/>
              </w:rPr>
            </w:pPr>
            <w:r w:rsidRPr="00F40116">
              <w:rPr>
                <w:color w:val="000000" w:themeColor="text1"/>
              </w:rPr>
              <w:t>The Governance Lead will also act as Company Secretary, including:</w:t>
            </w:r>
          </w:p>
          <w:p w14:paraId="4B299792" w14:textId="77777777" w:rsidR="00F91B44" w:rsidRPr="00F91B44" w:rsidRDefault="00F91B44" w:rsidP="00F40116">
            <w:pPr>
              <w:pStyle w:val="ListParagraph"/>
              <w:numPr>
                <w:ilvl w:val="0"/>
                <w:numId w:val="33"/>
              </w:numPr>
              <w:rPr>
                <w:color w:val="000000" w:themeColor="text1"/>
              </w:rPr>
            </w:pPr>
            <w:r w:rsidRPr="00F91B44">
              <w:rPr>
                <w:color w:val="000000" w:themeColor="text1"/>
              </w:rPr>
              <w:t>preparing annual company reports, compliant with both financial and legal requirements</w:t>
            </w:r>
          </w:p>
          <w:p w14:paraId="15A88EFD" w14:textId="77777777" w:rsidR="00F91B44" w:rsidRPr="00F91B44" w:rsidRDefault="00F91B44" w:rsidP="00F40116">
            <w:pPr>
              <w:pStyle w:val="ListParagraph"/>
              <w:numPr>
                <w:ilvl w:val="0"/>
                <w:numId w:val="33"/>
              </w:numPr>
              <w:rPr>
                <w:color w:val="000000" w:themeColor="text1"/>
              </w:rPr>
            </w:pPr>
            <w:r w:rsidRPr="00F91B44">
              <w:rPr>
                <w:color w:val="000000" w:themeColor="text1"/>
              </w:rPr>
              <w:t>providing advice on constitutional and procedural matters</w:t>
            </w:r>
          </w:p>
          <w:p w14:paraId="7E82364E" w14:textId="27AFAA90" w:rsidR="00F91B44" w:rsidRPr="00F91B44" w:rsidRDefault="00F91B44" w:rsidP="00F40116">
            <w:pPr>
              <w:pStyle w:val="ListParagraph"/>
              <w:numPr>
                <w:ilvl w:val="0"/>
                <w:numId w:val="33"/>
              </w:numPr>
              <w:rPr>
                <w:color w:val="000000" w:themeColor="text1"/>
              </w:rPr>
            </w:pPr>
            <w:r w:rsidRPr="00F91B44">
              <w:rPr>
                <w:color w:val="000000" w:themeColor="text1"/>
              </w:rPr>
              <w:t>communicating with other professionals (e.g., lawyers and auditors) and stakeholders (e.g., DfE, ESFA)</w:t>
            </w:r>
          </w:p>
          <w:p w14:paraId="646A4997" w14:textId="77777777" w:rsidR="00F91B44" w:rsidRPr="00F91B44" w:rsidRDefault="00F91B44" w:rsidP="00F40116">
            <w:pPr>
              <w:pStyle w:val="ListParagraph"/>
              <w:numPr>
                <w:ilvl w:val="0"/>
                <w:numId w:val="33"/>
              </w:numPr>
              <w:rPr>
                <w:color w:val="000000" w:themeColor="text1"/>
              </w:rPr>
            </w:pPr>
            <w:r w:rsidRPr="00F91B44">
              <w:rPr>
                <w:color w:val="000000" w:themeColor="text1"/>
              </w:rPr>
              <w:t>keeping up to date with policy, legal and statutory requirements</w:t>
            </w:r>
          </w:p>
          <w:p w14:paraId="3B5F48E2" w14:textId="5C961E6A" w:rsidR="00F91B44" w:rsidRPr="00F40116" w:rsidRDefault="00F91B44" w:rsidP="00F40116">
            <w:pPr>
              <w:pStyle w:val="ListParagraph"/>
              <w:numPr>
                <w:ilvl w:val="0"/>
                <w:numId w:val="33"/>
              </w:numPr>
              <w:rPr>
                <w:color w:val="000000" w:themeColor="text1"/>
              </w:rPr>
            </w:pPr>
            <w:r w:rsidRPr="00F91B44">
              <w:rPr>
                <w:color w:val="000000" w:themeColor="text1"/>
              </w:rPr>
              <w:t>notifying relevant authorities of any changes to membership</w:t>
            </w:r>
          </w:p>
        </w:tc>
      </w:tr>
    </w:tbl>
    <w:p w14:paraId="3B5F48E4" w14:textId="77777777" w:rsidR="0044270B" w:rsidRDefault="0044270B" w:rsidP="0044270B"/>
    <w:tbl>
      <w:tblPr>
        <w:tblpPr w:leftFromText="180" w:rightFromText="180" w:vertAnchor="text" w:tblpX="-624" w:tblpY="1"/>
        <w:tblOverlap w:val="never"/>
        <w:tblW w:w="10343" w:type="dxa"/>
        <w:tblCellSpacing w:w="14" w:type="dxa"/>
        <w:tblCellMar>
          <w:top w:w="57" w:type="dxa"/>
          <w:left w:w="57" w:type="dxa"/>
          <w:bottom w:w="57" w:type="dxa"/>
          <w:right w:w="57" w:type="dxa"/>
        </w:tblCellMar>
        <w:tblLook w:val="04A0" w:firstRow="1" w:lastRow="0" w:firstColumn="1" w:lastColumn="0" w:noHBand="0" w:noVBand="1"/>
      </w:tblPr>
      <w:tblGrid>
        <w:gridCol w:w="10343"/>
      </w:tblGrid>
      <w:tr w:rsidR="0044270B" w14:paraId="3B5F48E6" w14:textId="77777777" w:rsidTr="00BF175E">
        <w:trPr>
          <w:trHeight w:val="397"/>
          <w:tblCellSpacing w:w="14" w:type="dxa"/>
        </w:trPr>
        <w:tc>
          <w:tcPr>
            <w:tcW w:w="10287" w:type="dxa"/>
            <w:tcBorders>
              <w:top w:val="single" w:sz="4" w:space="0" w:color="919EC5"/>
              <w:left w:val="single" w:sz="4" w:space="0" w:color="919EC5"/>
              <w:bottom w:val="single" w:sz="4" w:space="0" w:color="919EC5"/>
              <w:right w:val="single" w:sz="4" w:space="0" w:color="919EC5"/>
            </w:tcBorders>
            <w:shd w:val="clear" w:color="auto" w:fill="DEEAF6" w:themeFill="accent1" w:themeFillTint="33"/>
            <w:vAlign w:val="center"/>
          </w:tcPr>
          <w:p w14:paraId="3B5F48E5" w14:textId="77777777" w:rsidR="0044270B" w:rsidRPr="00CF1FB1" w:rsidRDefault="0044270B" w:rsidP="00BF175E">
            <w:pPr>
              <w:rPr>
                <w:b/>
              </w:rPr>
            </w:pPr>
            <w:r>
              <w:rPr>
                <w:b/>
              </w:rPr>
              <w:t xml:space="preserve">Responsibilities </w:t>
            </w:r>
          </w:p>
        </w:tc>
      </w:tr>
      <w:tr w:rsidR="0044270B" w14:paraId="3B5F48FB" w14:textId="77777777" w:rsidTr="00BF175E">
        <w:trPr>
          <w:trHeight w:val="770"/>
          <w:tblCellSpacing w:w="14" w:type="dxa"/>
        </w:trPr>
        <w:tc>
          <w:tcPr>
            <w:tcW w:w="10287" w:type="dxa"/>
            <w:tcBorders>
              <w:top w:val="single" w:sz="4" w:space="0" w:color="70C165"/>
              <w:left w:val="single" w:sz="4" w:space="0" w:color="70C165"/>
              <w:bottom w:val="single" w:sz="4" w:space="0" w:color="70C165"/>
              <w:right w:val="single" w:sz="4" w:space="0" w:color="70C165"/>
            </w:tcBorders>
            <w:shd w:val="clear" w:color="auto" w:fill="auto"/>
            <w:vAlign w:val="center"/>
          </w:tcPr>
          <w:p w14:paraId="1684D01F" w14:textId="77777777" w:rsidR="00215F69" w:rsidRPr="006A5E68" w:rsidRDefault="00215F69" w:rsidP="00BF175E">
            <w:pPr>
              <w:spacing w:after="160" w:line="259" w:lineRule="auto"/>
              <w:rPr>
                <w:b/>
                <w:bCs/>
              </w:rPr>
            </w:pPr>
            <w:r w:rsidRPr="006A5E68">
              <w:rPr>
                <w:b/>
                <w:bCs/>
              </w:rPr>
              <w:t xml:space="preserve">Effective organisation and administration of meetings </w:t>
            </w:r>
          </w:p>
          <w:p w14:paraId="4760ACEF" w14:textId="5D22DACD" w:rsidR="00215F69" w:rsidRDefault="00215F69" w:rsidP="00BF175E">
            <w:pPr>
              <w:spacing w:after="160" w:line="259" w:lineRule="auto"/>
            </w:pPr>
            <w:r>
              <w:t>The</w:t>
            </w:r>
            <w:r w:rsidR="00D07A0F">
              <w:t xml:space="preserve"> Head of Governance </w:t>
            </w:r>
            <w:r>
              <w:t xml:space="preserve">will clerk meetings of the members, the </w:t>
            </w:r>
            <w:r w:rsidR="00D07A0F">
              <w:t>T</w:t>
            </w:r>
            <w:r>
              <w:t xml:space="preserve">rust </w:t>
            </w:r>
            <w:r w:rsidR="00D07A0F">
              <w:t>B</w:t>
            </w:r>
            <w:r>
              <w:t>oard and committees including:</w:t>
            </w:r>
          </w:p>
          <w:p w14:paraId="361D0269" w14:textId="6F64DC38" w:rsidR="00215F69" w:rsidRDefault="00F40116" w:rsidP="00BF175E">
            <w:pPr>
              <w:pStyle w:val="ListParagraph"/>
              <w:numPr>
                <w:ilvl w:val="0"/>
                <w:numId w:val="22"/>
              </w:numPr>
              <w:spacing w:after="160" w:line="259" w:lineRule="auto"/>
            </w:pPr>
            <w:r>
              <w:t xml:space="preserve">agreeing and </w:t>
            </w:r>
            <w:r w:rsidR="00215F69">
              <w:t xml:space="preserve">setting the cycle of meetings and preparing focused agendas </w:t>
            </w:r>
          </w:p>
          <w:p w14:paraId="538787E7" w14:textId="257E87FA" w:rsidR="00215F69" w:rsidRDefault="00215F69" w:rsidP="00BF175E">
            <w:pPr>
              <w:pStyle w:val="ListParagraph"/>
              <w:numPr>
                <w:ilvl w:val="0"/>
                <w:numId w:val="22"/>
              </w:numPr>
              <w:spacing w:after="160" w:line="259" w:lineRule="auto"/>
            </w:pPr>
            <w:r>
              <w:t>ensuring meetings are efficient and effective</w:t>
            </w:r>
            <w:r w:rsidR="00F40116">
              <w:t xml:space="preserve">, </w:t>
            </w:r>
            <w:r>
              <w:t>properly recorded</w:t>
            </w:r>
            <w:r w:rsidR="00F40116">
              <w:t xml:space="preserve"> including clarity on agreed actions and timescales</w:t>
            </w:r>
            <w:r>
              <w:t xml:space="preserve"> </w:t>
            </w:r>
          </w:p>
          <w:p w14:paraId="0B923BA5" w14:textId="7E5472EB" w:rsidR="00215F69" w:rsidRDefault="00215F69" w:rsidP="00BF175E">
            <w:pPr>
              <w:pStyle w:val="ListParagraph"/>
              <w:numPr>
                <w:ilvl w:val="0"/>
                <w:numId w:val="22"/>
              </w:numPr>
              <w:spacing w:after="160" w:line="259" w:lineRule="auto"/>
            </w:pPr>
            <w:r>
              <w:t xml:space="preserve">satisfying all aspects of meeting compliance as stipulated in the </w:t>
            </w:r>
            <w:r w:rsidR="00D07A0F">
              <w:t>T</w:t>
            </w:r>
            <w:r>
              <w:t xml:space="preserve">rust’s articles of association and the </w:t>
            </w:r>
            <w:r w:rsidR="00E37DF7">
              <w:t>A</w:t>
            </w:r>
            <w:r>
              <w:t>cademies Handbook, and in accordance with arrangements agreed by the board of trustees (</w:t>
            </w:r>
            <w:proofErr w:type="spellStart"/>
            <w:proofErr w:type="gramStart"/>
            <w:r>
              <w:t>eg</w:t>
            </w:r>
            <w:proofErr w:type="spellEnd"/>
            <w:proofErr w:type="gramEnd"/>
            <w:r>
              <w:t xml:space="preserve"> standing orders, terms of reference and scheme/s of delegation) </w:t>
            </w:r>
          </w:p>
          <w:p w14:paraId="270BC7FB" w14:textId="77777777" w:rsidR="00215F69" w:rsidRDefault="00215F69" w:rsidP="00BF175E">
            <w:pPr>
              <w:pStyle w:val="ListParagraph"/>
              <w:numPr>
                <w:ilvl w:val="0"/>
                <w:numId w:val="22"/>
              </w:numPr>
              <w:spacing w:after="160" w:line="259" w:lineRule="auto"/>
            </w:pPr>
            <w:r>
              <w:t xml:space="preserve">communicating board/committee decisions and ensuring actions are implemented by those required to undertake them and reporting back as necessary </w:t>
            </w:r>
          </w:p>
          <w:p w14:paraId="35B4C176" w14:textId="77777777" w:rsidR="00215F69" w:rsidRDefault="00215F69" w:rsidP="00BF175E">
            <w:pPr>
              <w:pStyle w:val="ListParagraph"/>
              <w:numPr>
                <w:ilvl w:val="0"/>
                <w:numId w:val="22"/>
              </w:numPr>
              <w:spacing w:after="160" w:line="259" w:lineRule="auto"/>
            </w:pPr>
            <w:r>
              <w:t xml:space="preserve">maintaining a record of attendance at meetings and training sessions by those governing </w:t>
            </w:r>
          </w:p>
          <w:p w14:paraId="1673675E" w14:textId="77777777" w:rsidR="006A5E68" w:rsidRPr="006A5E68" w:rsidRDefault="00215F69" w:rsidP="00BF175E">
            <w:pPr>
              <w:spacing w:after="160" w:line="259" w:lineRule="auto"/>
              <w:rPr>
                <w:b/>
                <w:bCs/>
              </w:rPr>
            </w:pPr>
            <w:r w:rsidRPr="006A5E68">
              <w:rPr>
                <w:b/>
                <w:bCs/>
              </w:rPr>
              <w:t>Advice and guidance</w:t>
            </w:r>
          </w:p>
          <w:p w14:paraId="1A989DB8" w14:textId="7991F9D4" w:rsidR="00215F69" w:rsidRDefault="00215F69" w:rsidP="00BF175E">
            <w:pPr>
              <w:spacing w:after="160" w:line="259" w:lineRule="auto"/>
            </w:pPr>
            <w:r>
              <w:t xml:space="preserve">As well as acting as the main point of contact for all queries relating to governance within the </w:t>
            </w:r>
            <w:r w:rsidR="00D07A0F">
              <w:t>T</w:t>
            </w:r>
            <w:r>
              <w:t>rust, th</w:t>
            </w:r>
            <w:r w:rsidR="00D07A0F">
              <w:t xml:space="preserve">e Head of Governance </w:t>
            </w:r>
            <w:r>
              <w:t xml:space="preserve">will proactively update those governing by providing advice and guidance on: </w:t>
            </w:r>
          </w:p>
          <w:p w14:paraId="718D7B89" w14:textId="77777777" w:rsidR="00215F69" w:rsidRDefault="00215F69" w:rsidP="00BF175E">
            <w:pPr>
              <w:pStyle w:val="ListParagraph"/>
              <w:numPr>
                <w:ilvl w:val="0"/>
                <w:numId w:val="23"/>
              </w:numPr>
              <w:spacing w:after="160" w:line="259" w:lineRule="auto"/>
            </w:pPr>
            <w:r>
              <w:lastRenderedPageBreak/>
              <w:t xml:space="preserve">the respective roles of members and trustees as required, including their duty to maintain the highest professional standards of conduct and ethics </w:t>
            </w:r>
          </w:p>
          <w:p w14:paraId="1B5A52C3" w14:textId="702A2B9B" w:rsidR="00215F69" w:rsidRDefault="00215F69" w:rsidP="00BF175E">
            <w:pPr>
              <w:pStyle w:val="ListParagraph"/>
              <w:numPr>
                <w:ilvl w:val="0"/>
                <w:numId w:val="23"/>
              </w:numPr>
              <w:spacing w:after="160" w:line="259" w:lineRule="auto"/>
            </w:pPr>
            <w:r>
              <w:t xml:space="preserve">best practice in academy </w:t>
            </w:r>
            <w:r w:rsidR="00D07A0F">
              <w:t>T</w:t>
            </w:r>
            <w:r>
              <w:t xml:space="preserve">rust governance, particularly in relation to governance structures and processes </w:t>
            </w:r>
          </w:p>
          <w:p w14:paraId="1A4B8057" w14:textId="1CD7C13D" w:rsidR="00215F69" w:rsidRDefault="00215F69" w:rsidP="00BF175E">
            <w:pPr>
              <w:pStyle w:val="ListParagraph"/>
              <w:numPr>
                <w:ilvl w:val="0"/>
                <w:numId w:val="23"/>
              </w:numPr>
              <w:spacing w:after="160" w:line="259" w:lineRule="auto"/>
            </w:pPr>
            <w:r>
              <w:t xml:space="preserve">the application of policies, </w:t>
            </w:r>
            <w:proofErr w:type="gramStart"/>
            <w:r>
              <w:t>procedures</w:t>
            </w:r>
            <w:proofErr w:type="gramEnd"/>
            <w:r>
              <w:t xml:space="preserve"> and relevant legislation/guidance across the </w:t>
            </w:r>
            <w:r w:rsidR="00D07A0F">
              <w:t>T</w:t>
            </w:r>
            <w:r>
              <w:t xml:space="preserve">rust </w:t>
            </w:r>
          </w:p>
          <w:p w14:paraId="339FA3E1" w14:textId="77777777" w:rsidR="006A5E68" w:rsidRPr="006A5E68" w:rsidRDefault="00215F69" w:rsidP="00BF175E">
            <w:pPr>
              <w:spacing w:after="160" w:line="259" w:lineRule="auto"/>
              <w:rPr>
                <w:b/>
                <w:bCs/>
              </w:rPr>
            </w:pPr>
            <w:r w:rsidRPr="006A5E68">
              <w:rPr>
                <w:b/>
                <w:bCs/>
              </w:rPr>
              <w:t>Statutory information and governance documentation</w:t>
            </w:r>
          </w:p>
          <w:p w14:paraId="6AE034B1" w14:textId="34FCBB5B" w:rsidR="00215F69" w:rsidRDefault="00215F69" w:rsidP="00BF175E">
            <w:pPr>
              <w:spacing w:after="160" w:line="259" w:lineRule="auto"/>
            </w:pPr>
            <w:r>
              <w:t xml:space="preserve">The </w:t>
            </w:r>
            <w:r w:rsidR="00D07A0F">
              <w:t xml:space="preserve">Head of Governance will </w:t>
            </w:r>
            <w:r>
              <w:t xml:space="preserve">act as gatekeeper for information and documentation that clearly details the </w:t>
            </w:r>
            <w:r w:rsidR="00D07A0F">
              <w:t>T</w:t>
            </w:r>
            <w:r>
              <w:t xml:space="preserve">rust’s governance arrangements and satisfies other statutory requirements, including (but not limited to): </w:t>
            </w:r>
          </w:p>
          <w:p w14:paraId="5EE1634C" w14:textId="142AB0F8" w:rsidR="00215F69" w:rsidRDefault="00215F69" w:rsidP="00BF175E">
            <w:pPr>
              <w:pStyle w:val="ListParagraph"/>
              <w:numPr>
                <w:ilvl w:val="0"/>
                <w:numId w:val="24"/>
              </w:numPr>
              <w:spacing w:after="160" w:line="259" w:lineRule="auto"/>
            </w:pPr>
            <w:r>
              <w:t xml:space="preserve">maintaining appropriate records of members, </w:t>
            </w:r>
            <w:r w:rsidR="00D07A0F">
              <w:t>T</w:t>
            </w:r>
            <w:r>
              <w:t xml:space="preserve">rust </w:t>
            </w:r>
            <w:proofErr w:type="gramStart"/>
            <w:r w:rsidR="009436E3">
              <w:t>B</w:t>
            </w:r>
            <w:r>
              <w:t>oard</w:t>
            </w:r>
            <w:proofErr w:type="gramEnd"/>
            <w:r>
              <w:t xml:space="preserve"> and committee membership</w:t>
            </w:r>
            <w:r w:rsidR="00367807">
              <w:t>, along with any terms of reference</w:t>
            </w:r>
          </w:p>
          <w:p w14:paraId="69A434D5" w14:textId="44D3C6E7" w:rsidR="00215F69" w:rsidRDefault="00215F69" w:rsidP="00BF175E">
            <w:pPr>
              <w:pStyle w:val="ListParagraph"/>
              <w:numPr>
                <w:ilvl w:val="0"/>
                <w:numId w:val="24"/>
              </w:numPr>
              <w:spacing w:after="160" w:line="259" w:lineRule="auto"/>
            </w:pPr>
            <w:r>
              <w:t xml:space="preserve">maintaining a </w:t>
            </w:r>
            <w:r w:rsidR="00D07A0F">
              <w:t>T</w:t>
            </w:r>
            <w:r>
              <w:t>rust policy register and advising on the policy review and approval cycle</w:t>
            </w:r>
          </w:p>
          <w:p w14:paraId="4AD360DD" w14:textId="77777777" w:rsidR="00215F69" w:rsidRDefault="00215F69" w:rsidP="00BF175E">
            <w:pPr>
              <w:pStyle w:val="ListParagraph"/>
              <w:numPr>
                <w:ilvl w:val="0"/>
                <w:numId w:val="24"/>
              </w:numPr>
              <w:spacing w:after="160" w:line="259" w:lineRule="auto"/>
            </w:pPr>
            <w:r>
              <w:t xml:space="preserve">ensuring copies of statutory policies and other statutory documents such as the scheme of delegation and register of interests are published in line with statutory requirements </w:t>
            </w:r>
          </w:p>
          <w:p w14:paraId="786F2A45" w14:textId="0B825739" w:rsidR="00215F69" w:rsidRDefault="00215F69" w:rsidP="00BF175E">
            <w:pPr>
              <w:pStyle w:val="ListParagraph"/>
              <w:numPr>
                <w:ilvl w:val="0"/>
                <w:numId w:val="24"/>
              </w:numPr>
              <w:spacing w:after="160" w:line="259" w:lineRule="auto"/>
            </w:pPr>
            <w:r>
              <w:t xml:space="preserve">supporting production of the annual report and governance statement published with the </w:t>
            </w:r>
            <w:r w:rsidR="00D07A0F">
              <w:t>T</w:t>
            </w:r>
            <w:r>
              <w:t xml:space="preserve">rust’s annual accounts </w:t>
            </w:r>
          </w:p>
          <w:p w14:paraId="01337BD7" w14:textId="48B86D68" w:rsidR="00215F69" w:rsidRDefault="00215F69" w:rsidP="00BF175E">
            <w:pPr>
              <w:pStyle w:val="ListParagraph"/>
              <w:numPr>
                <w:ilvl w:val="0"/>
                <w:numId w:val="24"/>
              </w:numPr>
              <w:spacing w:after="160" w:line="259" w:lineRule="auto"/>
            </w:pPr>
            <w:r>
              <w:t xml:space="preserve">managing the flow of information between members, the </w:t>
            </w:r>
            <w:r w:rsidR="00D07A0F">
              <w:t>T</w:t>
            </w:r>
            <w:r>
              <w:t xml:space="preserve">rust </w:t>
            </w:r>
            <w:proofErr w:type="gramStart"/>
            <w:r w:rsidR="00D07A0F">
              <w:t>B</w:t>
            </w:r>
            <w:r>
              <w:t>oard</w:t>
            </w:r>
            <w:proofErr w:type="gramEnd"/>
            <w:r>
              <w:t xml:space="preserve"> and its committees </w:t>
            </w:r>
          </w:p>
          <w:p w14:paraId="24274DDB" w14:textId="664A010D" w:rsidR="00215F69" w:rsidRDefault="00215F69" w:rsidP="00BF175E">
            <w:pPr>
              <w:pStyle w:val="ListParagraph"/>
              <w:numPr>
                <w:ilvl w:val="0"/>
                <w:numId w:val="24"/>
              </w:numPr>
              <w:spacing w:after="160" w:line="259" w:lineRule="auto"/>
            </w:pPr>
            <w:r>
              <w:t xml:space="preserve">developing </w:t>
            </w:r>
            <w:r w:rsidR="00D07A0F">
              <w:t>T</w:t>
            </w:r>
            <w:r>
              <w:t xml:space="preserve">rust-specific documents such as a governance code of conduct and skills matrix </w:t>
            </w:r>
          </w:p>
          <w:p w14:paraId="2A1B800F" w14:textId="40173A7F" w:rsidR="00215F69" w:rsidRDefault="00215F69" w:rsidP="00BF175E">
            <w:pPr>
              <w:pStyle w:val="ListParagraph"/>
              <w:numPr>
                <w:ilvl w:val="0"/>
                <w:numId w:val="24"/>
              </w:numPr>
              <w:spacing w:after="160" w:line="259" w:lineRule="auto"/>
            </w:pPr>
            <w:r>
              <w:t xml:space="preserve">maintaining the </w:t>
            </w:r>
            <w:r w:rsidR="00D07A0F">
              <w:t>T</w:t>
            </w:r>
            <w:r>
              <w:t>rust’s online governance portal (or equivalent)</w:t>
            </w:r>
          </w:p>
          <w:p w14:paraId="2F17C1E9" w14:textId="77777777" w:rsidR="006A5E68" w:rsidRPr="006A5E68" w:rsidRDefault="00576083" w:rsidP="00BF175E">
            <w:pPr>
              <w:spacing w:after="160" w:line="259" w:lineRule="auto"/>
              <w:rPr>
                <w:b/>
                <w:bCs/>
              </w:rPr>
            </w:pPr>
            <w:r w:rsidRPr="006A5E68">
              <w:rPr>
                <w:b/>
                <w:bCs/>
              </w:rPr>
              <w:t>Governance membership and structure</w:t>
            </w:r>
          </w:p>
          <w:p w14:paraId="6193A027" w14:textId="0E43DA4F" w:rsidR="00576083" w:rsidRDefault="00576083" w:rsidP="00BF175E">
            <w:pPr>
              <w:spacing w:after="160" w:line="259" w:lineRule="auto"/>
            </w:pPr>
            <w:proofErr w:type="gramStart"/>
            <w:r>
              <w:t>In order to</w:t>
            </w:r>
            <w:proofErr w:type="gramEnd"/>
            <w:r>
              <w:t xml:space="preserve"> ensure the efficiency and effectiveness of the </w:t>
            </w:r>
            <w:r w:rsidR="00D07A0F">
              <w:t>T</w:t>
            </w:r>
            <w:r>
              <w:t xml:space="preserve">rust’s governance framework, the </w:t>
            </w:r>
            <w:r w:rsidR="00D07A0F">
              <w:t>Head of Governance</w:t>
            </w:r>
            <w:r>
              <w:t xml:space="preserve"> is responsible for: </w:t>
            </w:r>
          </w:p>
          <w:p w14:paraId="6A9B5397" w14:textId="18F44ECE" w:rsidR="00576083" w:rsidRDefault="00576083" w:rsidP="00BF175E">
            <w:pPr>
              <w:pStyle w:val="ListParagraph"/>
              <w:numPr>
                <w:ilvl w:val="0"/>
                <w:numId w:val="25"/>
              </w:numPr>
              <w:spacing w:after="160" w:line="259" w:lineRule="auto"/>
            </w:pPr>
            <w:r>
              <w:t xml:space="preserve">ensuring the </w:t>
            </w:r>
            <w:r w:rsidR="00D07A0F">
              <w:t>T</w:t>
            </w:r>
            <w:r>
              <w:t xml:space="preserve">rust </w:t>
            </w:r>
            <w:r w:rsidR="00D07A0F">
              <w:t>B</w:t>
            </w:r>
            <w:r>
              <w:t xml:space="preserve">oard and its committees are properly constituted </w:t>
            </w:r>
          </w:p>
          <w:p w14:paraId="2AF62B99" w14:textId="1C898E00" w:rsidR="00576083" w:rsidRDefault="00576083" w:rsidP="00BF175E">
            <w:pPr>
              <w:pStyle w:val="ListParagraph"/>
              <w:numPr>
                <w:ilvl w:val="0"/>
                <w:numId w:val="25"/>
              </w:numPr>
              <w:spacing w:after="160" w:line="259" w:lineRule="auto"/>
            </w:pPr>
            <w:r>
              <w:t xml:space="preserve">advising the </w:t>
            </w:r>
            <w:r w:rsidR="00D07A0F">
              <w:t>T</w:t>
            </w:r>
            <w:r>
              <w:t xml:space="preserve">rust </w:t>
            </w:r>
            <w:r w:rsidR="00D07A0F">
              <w:t>B</w:t>
            </w:r>
            <w:r>
              <w:t xml:space="preserve">oard on succession planning </w:t>
            </w:r>
          </w:p>
          <w:p w14:paraId="36B9804B" w14:textId="66689322" w:rsidR="00553631" w:rsidRDefault="00553631" w:rsidP="00BF175E">
            <w:pPr>
              <w:pStyle w:val="ListParagraph"/>
              <w:numPr>
                <w:ilvl w:val="0"/>
                <w:numId w:val="25"/>
              </w:numPr>
            </w:pPr>
            <w:r w:rsidRPr="00553631">
              <w:t xml:space="preserve">support the </w:t>
            </w:r>
            <w:r w:rsidR="00D07A0F">
              <w:t>T</w:t>
            </w:r>
            <w:r w:rsidRPr="00553631">
              <w:t xml:space="preserve">rust </w:t>
            </w:r>
            <w:r w:rsidR="00D07A0F">
              <w:t>B</w:t>
            </w:r>
            <w:r w:rsidRPr="00553631">
              <w:t>oard in developing effective</w:t>
            </w:r>
            <w:r w:rsidR="00D07A0F">
              <w:t xml:space="preserve">, </w:t>
            </w:r>
            <w:r w:rsidRPr="00553631">
              <w:t>inclusive recruitment practices which promote diversity</w:t>
            </w:r>
          </w:p>
          <w:p w14:paraId="6AF95E89" w14:textId="031C383D" w:rsidR="00576083" w:rsidRDefault="00576083" w:rsidP="00BF175E">
            <w:pPr>
              <w:pStyle w:val="ListParagraph"/>
              <w:numPr>
                <w:ilvl w:val="0"/>
                <w:numId w:val="25"/>
              </w:numPr>
              <w:spacing w:after="160" w:line="259" w:lineRule="auto"/>
            </w:pPr>
            <w:r>
              <w:t xml:space="preserve">overseeing member, trustee and committee member recruitment as required, advising on election and appointment procedures, and ensuring that the necessary checks are conducted </w:t>
            </w:r>
          </w:p>
          <w:p w14:paraId="00B4C14E" w14:textId="54E16ACC" w:rsidR="00576083" w:rsidRDefault="00576083" w:rsidP="00BF175E">
            <w:pPr>
              <w:pStyle w:val="ListParagraph"/>
              <w:numPr>
                <w:ilvl w:val="0"/>
                <w:numId w:val="25"/>
              </w:numPr>
              <w:spacing w:after="160" w:line="259" w:lineRule="auto"/>
            </w:pPr>
            <w:r>
              <w:t xml:space="preserve">developing a </w:t>
            </w:r>
            <w:r w:rsidR="00D07A0F">
              <w:t>T</w:t>
            </w:r>
            <w:r>
              <w:t xml:space="preserve">rust-wide induction process for those governing </w:t>
            </w:r>
          </w:p>
          <w:p w14:paraId="778F4562" w14:textId="66CB0014" w:rsidR="00215F69" w:rsidRDefault="00576083" w:rsidP="00BF175E">
            <w:pPr>
              <w:pStyle w:val="ListParagraph"/>
              <w:numPr>
                <w:ilvl w:val="0"/>
                <w:numId w:val="25"/>
              </w:numPr>
              <w:spacing w:after="160" w:line="259" w:lineRule="auto"/>
            </w:pPr>
            <w:r>
              <w:t xml:space="preserve">assisting in the process of new schools joining the </w:t>
            </w:r>
            <w:r w:rsidR="00D07A0F">
              <w:t>T</w:t>
            </w:r>
            <w:r>
              <w:t>rust by supporting, where necessary, the due diligence process along with the academy conversion process</w:t>
            </w:r>
          </w:p>
          <w:p w14:paraId="508BC995" w14:textId="6CBB8687" w:rsidR="006A5E68" w:rsidRPr="006A5E68" w:rsidRDefault="004E223C" w:rsidP="00BF175E">
            <w:pPr>
              <w:spacing w:after="160" w:line="259" w:lineRule="auto"/>
              <w:rPr>
                <w:b/>
                <w:bCs/>
              </w:rPr>
            </w:pPr>
            <w:r w:rsidRPr="006A5E68">
              <w:rPr>
                <w:b/>
                <w:bCs/>
              </w:rPr>
              <w:t>People and relationships</w:t>
            </w:r>
          </w:p>
          <w:p w14:paraId="302769F9" w14:textId="03768A6B" w:rsidR="006A5E68" w:rsidRDefault="004E223C" w:rsidP="00BF175E">
            <w:pPr>
              <w:spacing w:after="160" w:line="259" w:lineRule="auto"/>
            </w:pPr>
            <w:r>
              <w:t>The</w:t>
            </w:r>
            <w:r w:rsidR="00D07A0F">
              <w:t xml:space="preserve"> Head of Governance</w:t>
            </w:r>
            <w:r>
              <w:t xml:space="preserve"> will develop productive working relationships whilst maintaining independence by: </w:t>
            </w:r>
          </w:p>
          <w:p w14:paraId="00D59DA4" w14:textId="75A8EE61" w:rsidR="006A5E68" w:rsidRDefault="004E223C" w:rsidP="00BF175E">
            <w:pPr>
              <w:pStyle w:val="ListParagraph"/>
              <w:numPr>
                <w:ilvl w:val="0"/>
                <w:numId w:val="26"/>
              </w:numPr>
              <w:spacing w:after="160" w:line="259" w:lineRule="auto"/>
            </w:pPr>
            <w:r>
              <w:t xml:space="preserve">supporting the work of </w:t>
            </w:r>
            <w:r w:rsidR="00904027">
              <w:t>T</w:t>
            </w:r>
            <w:r>
              <w:t xml:space="preserve">rust leaders in the implementation and compliance of policies, systems, and procedures regarding statutory and legislative obligations. </w:t>
            </w:r>
          </w:p>
          <w:p w14:paraId="72D5B963" w14:textId="77777777" w:rsidR="006A5E68" w:rsidRDefault="004E223C" w:rsidP="00BF175E">
            <w:pPr>
              <w:pStyle w:val="ListParagraph"/>
              <w:numPr>
                <w:ilvl w:val="0"/>
                <w:numId w:val="26"/>
              </w:numPr>
              <w:spacing w:after="160" w:line="259" w:lineRule="auto"/>
            </w:pPr>
            <w:r>
              <w:t xml:space="preserve">working collaboratively with other key Trust functions including senior leadership so that governance supports and enables the operational delivery of strategic objectives </w:t>
            </w:r>
          </w:p>
          <w:p w14:paraId="75773708" w14:textId="77777777" w:rsidR="006A5E68" w:rsidRDefault="004E223C" w:rsidP="00BF175E">
            <w:pPr>
              <w:pStyle w:val="ListParagraph"/>
              <w:numPr>
                <w:ilvl w:val="0"/>
                <w:numId w:val="26"/>
              </w:numPr>
              <w:spacing w:after="160" w:line="259" w:lineRule="auto"/>
            </w:pPr>
            <w:r>
              <w:t xml:space="preserve">working closely with the Chair of Trustees and Committee Chairs to ensure strong links between all those governing </w:t>
            </w:r>
          </w:p>
          <w:p w14:paraId="50CFA400" w14:textId="77777777" w:rsidR="006A5E68" w:rsidRDefault="004E223C" w:rsidP="00BF175E">
            <w:pPr>
              <w:pStyle w:val="ListParagraph"/>
              <w:numPr>
                <w:ilvl w:val="0"/>
                <w:numId w:val="26"/>
              </w:numPr>
              <w:spacing w:after="160" w:line="259" w:lineRule="auto"/>
            </w:pPr>
            <w:r>
              <w:t xml:space="preserve">maintaining effective communications with relevant stakeholders </w:t>
            </w:r>
          </w:p>
          <w:p w14:paraId="4FE57FD0" w14:textId="1E1CBFD1" w:rsidR="006A5E68" w:rsidRDefault="004E223C" w:rsidP="00BF175E">
            <w:pPr>
              <w:spacing w:after="160" w:line="259" w:lineRule="auto"/>
              <w:rPr>
                <w:b/>
                <w:bCs/>
              </w:rPr>
            </w:pPr>
            <w:r w:rsidRPr="006A5E68">
              <w:rPr>
                <w:b/>
                <w:bCs/>
              </w:rPr>
              <w:t>Evaluation and development</w:t>
            </w:r>
          </w:p>
          <w:p w14:paraId="4FF7724B" w14:textId="33D65A5B" w:rsidR="005879E8" w:rsidRPr="00F40116" w:rsidRDefault="005879E8" w:rsidP="00BF175E">
            <w:r>
              <w:lastRenderedPageBreak/>
              <w:t xml:space="preserve">In contributing to rigorous and effective methods of self-review across the </w:t>
            </w:r>
            <w:r w:rsidR="00904027">
              <w:t>T</w:t>
            </w:r>
            <w:r>
              <w:t>rust, the</w:t>
            </w:r>
            <w:r w:rsidR="00904027">
              <w:t xml:space="preserve"> Head of Governance</w:t>
            </w:r>
            <w:r>
              <w:t xml:space="preserve"> is responsible for:</w:t>
            </w:r>
          </w:p>
          <w:p w14:paraId="0256F8F4" w14:textId="77777777" w:rsidR="006A5E68" w:rsidRDefault="004E223C" w:rsidP="00BF175E">
            <w:pPr>
              <w:pStyle w:val="ListParagraph"/>
              <w:numPr>
                <w:ilvl w:val="0"/>
                <w:numId w:val="27"/>
              </w:numPr>
              <w:spacing w:after="160" w:line="259" w:lineRule="auto"/>
            </w:pPr>
            <w:r>
              <w:t xml:space="preserve">Co-ordinating the design and review of professional development plans for those governing </w:t>
            </w:r>
          </w:p>
          <w:p w14:paraId="2AEAF088" w14:textId="77777777" w:rsidR="006A5E68" w:rsidRDefault="004E223C" w:rsidP="00BF175E">
            <w:pPr>
              <w:pStyle w:val="ListParagraph"/>
              <w:numPr>
                <w:ilvl w:val="0"/>
                <w:numId w:val="27"/>
              </w:numPr>
              <w:spacing w:after="160" w:line="259" w:lineRule="auto"/>
            </w:pPr>
            <w:r>
              <w:t xml:space="preserve">Co-ordinating a programme of regular evaluation of the quality of governance, including skills audits and effectiveness reviews </w:t>
            </w:r>
          </w:p>
          <w:p w14:paraId="018B89F3" w14:textId="77777777" w:rsidR="006A5E68" w:rsidRDefault="004E223C" w:rsidP="00BF175E">
            <w:pPr>
              <w:pStyle w:val="ListParagraph"/>
              <w:numPr>
                <w:ilvl w:val="0"/>
                <w:numId w:val="27"/>
              </w:numPr>
              <w:spacing w:after="160" w:line="259" w:lineRule="auto"/>
            </w:pPr>
            <w:r>
              <w:t>Supporting any external reviews of governance, including governance aspects of any Ofsted inspection</w:t>
            </w:r>
          </w:p>
          <w:p w14:paraId="4033C017" w14:textId="36AED49F" w:rsidR="00576083" w:rsidRDefault="004E223C" w:rsidP="00BF175E">
            <w:pPr>
              <w:pStyle w:val="ListParagraph"/>
              <w:numPr>
                <w:ilvl w:val="0"/>
                <w:numId w:val="27"/>
              </w:numPr>
              <w:spacing w:after="160" w:line="259" w:lineRule="auto"/>
            </w:pPr>
            <w:r>
              <w:t>Developing and implementing a training programme for those governing</w:t>
            </w:r>
          </w:p>
          <w:p w14:paraId="6C1FA84F" w14:textId="4D7D9020" w:rsidR="00C379D5" w:rsidRDefault="00977343" w:rsidP="00BF175E">
            <w:pPr>
              <w:pStyle w:val="ListParagraph"/>
              <w:numPr>
                <w:ilvl w:val="0"/>
                <w:numId w:val="27"/>
              </w:numPr>
              <w:spacing w:after="160" w:line="259" w:lineRule="auto"/>
            </w:pPr>
            <w:r>
              <w:t>A ‘dotted line’ responsibility for the clerks of the Local Governing Bodies, p</w:t>
            </w:r>
            <w:r w:rsidR="00C379D5">
              <w:t>rovid</w:t>
            </w:r>
            <w:r>
              <w:t>ing</w:t>
            </w:r>
            <w:r w:rsidR="00C379D5">
              <w:t xml:space="preserve"> support, </w:t>
            </w:r>
            <w:proofErr w:type="gramStart"/>
            <w:r w:rsidR="00C379D5">
              <w:t>advice</w:t>
            </w:r>
            <w:proofErr w:type="gramEnd"/>
            <w:r w:rsidR="00C379D5">
              <w:t xml:space="preserve"> and guidance to the clerks of the LGBs, including quality assurance of minutes</w:t>
            </w:r>
          </w:p>
          <w:p w14:paraId="7E9EF230" w14:textId="415526CE" w:rsidR="00E84140" w:rsidRDefault="00B87098" w:rsidP="00BF175E">
            <w:pPr>
              <w:spacing w:after="160" w:line="259" w:lineRule="auto"/>
            </w:pPr>
            <w:r>
              <w:t>Other responsibilities</w:t>
            </w:r>
            <w:r w:rsidR="00E84140">
              <w:t>:</w:t>
            </w:r>
          </w:p>
          <w:p w14:paraId="2F7EAE88" w14:textId="77777777" w:rsidR="00904027" w:rsidRPr="00977343" w:rsidRDefault="007E6DAB" w:rsidP="00977343">
            <w:pPr>
              <w:pStyle w:val="ListParagraph"/>
              <w:numPr>
                <w:ilvl w:val="0"/>
                <w:numId w:val="34"/>
              </w:numPr>
              <w:rPr>
                <w:color w:val="000000" w:themeColor="text1"/>
              </w:rPr>
            </w:pPr>
            <w:r w:rsidRPr="00977343">
              <w:rPr>
                <w:color w:val="000000" w:themeColor="text1"/>
              </w:rPr>
              <w:t>M</w:t>
            </w:r>
            <w:r w:rsidR="00E84140" w:rsidRPr="00977343">
              <w:rPr>
                <w:color w:val="000000" w:themeColor="text1"/>
              </w:rPr>
              <w:t>anage</w:t>
            </w:r>
            <w:r w:rsidRPr="00977343">
              <w:rPr>
                <w:color w:val="000000" w:themeColor="text1"/>
              </w:rPr>
              <w:t xml:space="preserve"> the Trust’s</w:t>
            </w:r>
            <w:r w:rsidR="00E84140" w:rsidRPr="00977343">
              <w:rPr>
                <w:color w:val="000000" w:themeColor="text1"/>
              </w:rPr>
              <w:t xml:space="preserve"> relationship </w:t>
            </w:r>
            <w:r w:rsidRPr="00977343">
              <w:rPr>
                <w:color w:val="000000" w:themeColor="text1"/>
              </w:rPr>
              <w:t>with its</w:t>
            </w:r>
            <w:r w:rsidR="00E84140" w:rsidRPr="00977343">
              <w:rPr>
                <w:color w:val="000000" w:themeColor="text1"/>
              </w:rPr>
              <w:t xml:space="preserve"> external legal</w:t>
            </w:r>
            <w:r w:rsidRPr="00977343">
              <w:rPr>
                <w:color w:val="000000" w:themeColor="text1"/>
              </w:rPr>
              <w:t xml:space="preserve"> advisors</w:t>
            </w:r>
          </w:p>
          <w:p w14:paraId="3B5F48FA" w14:textId="316F88BD" w:rsidR="0044270B" w:rsidRPr="002C7698" w:rsidRDefault="00904027" w:rsidP="00977343">
            <w:pPr>
              <w:pStyle w:val="ListParagraph"/>
              <w:numPr>
                <w:ilvl w:val="0"/>
                <w:numId w:val="34"/>
              </w:numPr>
            </w:pPr>
            <w:r>
              <w:t>S</w:t>
            </w:r>
            <w:r w:rsidR="00E84140">
              <w:t xml:space="preserve">ecretarial support to </w:t>
            </w:r>
            <w:r>
              <w:t xml:space="preserve">the </w:t>
            </w:r>
            <w:r w:rsidR="00E84140">
              <w:t>Trus</w:t>
            </w:r>
            <w:r>
              <w:t>t Strategic Development Group and Operations Group</w:t>
            </w:r>
          </w:p>
        </w:tc>
      </w:tr>
      <w:tr w:rsidR="0044270B" w14:paraId="3B5F48FD" w14:textId="77777777" w:rsidTr="00BF175E">
        <w:trPr>
          <w:trHeight w:val="441"/>
          <w:tblCellSpacing w:w="14" w:type="dxa"/>
        </w:trPr>
        <w:tc>
          <w:tcPr>
            <w:tcW w:w="10287" w:type="dxa"/>
            <w:tcBorders>
              <w:top w:val="single" w:sz="4" w:space="0" w:color="919EC5"/>
              <w:left w:val="single" w:sz="4" w:space="0" w:color="919EC5"/>
              <w:bottom w:val="single" w:sz="4" w:space="0" w:color="919EC5"/>
              <w:right w:val="single" w:sz="4" w:space="0" w:color="919EC5"/>
            </w:tcBorders>
            <w:shd w:val="clear" w:color="auto" w:fill="DEEAF6" w:themeFill="accent1" w:themeFillTint="33"/>
            <w:vAlign w:val="center"/>
          </w:tcPr>
          <w:p w14:paraId="3B5F48FC" w14:textId="77777777" w:rsidR="0044270B" w:rsidRPr="00CF1FB1" w:rsidRDefault="0044270B" w:rsidP="00BF175E">
            <w:pPr>
              <w:rPr>
                <w:b/>
              </w:rPr>
            </w:pPr>
            <w:r>
              <w:rPr>
                <w:b/>
              </w:rPr>
              <w:lastRenderedPageBreak/>
              <w:t>Assessment and Reporting</w:t>
            </w:r>
          </w:p>
        </w:tc>
      </w:tr>
      <w:tr w:rsidR="0044270B" w14:paraId="3B5F48FF" w14:textId="77777777" w:rsidTr="00BF175E">
        <w:trPr>
          <w:trHeight w:val="848"/>
          <w:tblCellSpacing w:w="14" w:type="dxa"/>
        </w:trPr>
        <w:tc>
          <w:tcPr>
            <w:tcW w:w="10287" w:type="dxa"/>
            <w:tcBorders>
              <w:top w:val="single" w:sz="4" w:space="0" w:color="70C165"/>
              <w:left w:val="single" w:sz="4" w:space="0" w:color="70C165"/>
              <w:bottom w:val="single" w:sz="4" w:space="0" w:color="70C165"/>
              <w:right w:val="single" w:sz="4" w:space="0" w:color="70C165"/>
            </w:tcBorders>
            <w:shd w:val="clear" w:color="auto" w:fill="auto"/>
            <w:vAlign w:val="center"/>
          </w:tcPr>
          <w:p w14:paraId="3B5F48FE" w14:textId="1EDD7C86" w:rsidR="0044270B" w:rsidRPr="00CD2870" w:rsidRDefault="0044270B" w:rsidP="00BF175E">
            <w:pPr>
              <w:pStyle w:val="ListParagraph"/>
              <w:widowControl w:val="0"/>
              <w:numPr>
                <w:ilvl w:val="0"/>
                <w:numId w:val="4"/>
              </w:numPr>
              <w:autoSpaceDE w:val="0"/>
              <w:autoSpaceDN w:val="0"/>
              <w:adjustRightInd w:val="0"/>
              <w:spacing w:line="276" w:lineRule="auto"/>
              <w:ind w:left="465" w:hanging="357"/>
            </w:pPr>
            <w:r w:rsidRPr="0078210F">
              <w:t xml:space="preserve">Standard of work will be assessed by the </w:t>
            </w:r>
            <w:r w:rsidR="00477CA9">
              <w:t>CEO and as such th</w:t>
            </w:r>
            <w:r w:rsidR="00606286">
              <w:t>e Governance Lead</w:t>
            </w:r>
            <w:r w:rsidR="00477CA9">
              <w:t xml:space="preserve"> </w:t>
            </w:r>
            <w:r w:rsidRPr="0078210F">
              <w:t xml:space="preserve">will be observed and monitored both formally, through the Trust’s Performance Development procedures and informally through daily discussions. </w:t>
            </w:r>
          </w:p>
        </w:tc>
      </w:tr>
      <w:tr w:rsidR="0044270B" w14:paraId="3B5F4901" w14:textId="77777777" w:rsidTr="00BF175E">
        <w:trPr>
          <w:trHeight w:val="475"/>
          <w:tblCellSpacing w:w="14" w:type="dxa"/>
        </w:trPr>
        <w:tc>
          <w:tcPr>
            <w:tcW w:w="10287" w:type="dxa"/>
            <w:tcBorders>
              <w:top w:val="single" w:sz="4" w:space="0" w:color="919EC5"/>
              <w:left w:val="single" w:sz="4" w:space="0" w:color="919EC5"/>
              <w:bottom w:val="single" w:sz="4" w:space="0" w:color="919EC5"/>
              <w:right w:val="single" w:sz="4" w:space="0" w:color="919EC5"/>
            </w:tcBorders>
            <w:shd w:val="clear" w:color="auto" w:fill="DEEAF6" w:themeFill="accent1" w:themeFillTint="33"/>
            <w:vAlign w:val="center"/>
          </w:tcPr>
          <w:p w14:paraId="3B5F4900" w14:textId="77777777" w:rsidR="0044270B" w:rsidRPr="00CF1FB1" w:rsidRDefault="0044270B" w:rsidP="00BF175E">
            <w:pPr>
              <w:rPr>
                <w:b/>
              </w:rPr>
            </w:pPr>
            <w:r>
              <w:rPr>
                <w:b/>
              </w:rPr>
              <w:t>Student Care Role</w:t>
            </w:r>
          </w:p>
        </w:tc>
      </w:tr>
      <w:tr w:rsidR="0044270B" w14:paraId="3B5F4904" w14:textId="77777777" w:rsidTr="00BF175E">
        <w:trPr>
          <w:trHeight w:val="808"/>
          <w:tblCellSpacing w:w="14" w:type="dxa"/>
        </w:trPr>
        <w:tc>
          <w:tcPr>
            <w:tcW w:w="10287" w:type="dxa"/>
            <w:tcBorders>
              <w:top w:val="single" w:sz="4" w:space="0" w:color="70C165"/>
              <w:left w:val="single" w:sz="4" w:space="0" w:color="70C165"/>
              <w:bottom w:val="single" w:sz="4" w:space="0" w:color="70C165"/>
              <w:right w:val="single" w:sz="4" w:space="0" w:color="70C165"/>
            </w:tcBorders>
            <w:shd w:val="clear" w:color="auto" w:fill="auto"/>
          </w:tcPr>
          <w:p w14:paraId="3B5F4902" w14:textId="31FEED8F" w:rsidR="0044270B" w:rsidRPr="00DD6855" w:rsidRDefault="00C05E30" w:rsidP="00BF175E">
            <w:pPr>
              <w:widowControl w:val="0"/>
              <w:numPr>
                <w:ilvl w:val="0"/>
                <w:numId w:val="3"/>
              </w:numPr>
              <w:autoSpaceDE w:val="0"/>
              <w:autoSpaceDN w:val="0"/>
              <w:adjustRightInd w:val="0"/>
              <w:spacing w:line="276" w:lineRule="auto"/>
              <w:ind w:left="465" w:hanging="357"/>
              <w:contextualSpacing/>
            </w:pPr>
            <w:r>
              <w:t>The</w:t>
            </w:r>
            <w:r w:rsidRPr="00C05E30">
              <w:rPr>
                <w:rFonts w:cs="Arial"/>
                <w:bCs/>
                <w:szCs w:val="24"/>
              </w:rPr>
              <w:t xml:space="preserve"> </w:t>
            </w:r>
            <w:r w:rsidR="00606286">
              <w:rPr>
                <w:rFonts w:cs="Arial"/>
                <w:bCs/>
                <w:szCs w:val="24"/>
              </w:rPr>
              <w:t xml:space="preserve">Governance Lead </w:t>
            </w:r>
            <w:r w:rsidR="0044270B" w:rsidRPr="00DD6855">
              <w:t xml:space="preserve">will follow </w:t>
            </w:r>
            <w:r w:rsidR="0044270B">
              <w:t xml:space="preserve">the Trust’s </w:t>
            </w:r>
            <w:r w:rsidR="0044270B" w:rsidRPr="00DD6855">
              <w:t>procedure</w:t>
            </w:r>
            <w:r w:rsidR="0044270B">
              <w:t>s</w:t>
            </w:r>
            <w:r w:rsidR="0044270B" w:rsidRPr="00DD6855">
              <w:t xml:space="preserve"> for student contact &amp; welfare</w:t>
            </w:r>
            <w:r w:rsidR="0044270B">
              <w:t>.</w:t>
            </w:r>
          </w:p>
          <w:p w14:paraId="3B5F4903" w14:textId="77777777" w:rsidR="0044270B" w:rsidRPr="00CD2870" w:rsidRDefault="0044270B" w:rsidP="00BF175E">
            <w:pPr>
              <w:widowControl w:val="0"/>
              <w:numPr>
                <w:ilvl w:val="0"/>
                <w:numId w:val="3"/>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t>.</w:t>
            </w:r>
          </w:p>
        </w:tc>
      </w:tr>
      <w:tr w:rsidR="0044270B" w14:paraId="3B5F4906" w14:textId="77777777" w:rsidTr="00BF175E">
        <w:trPr>
          <w:trHeight w:val="253"/>
          <w:tblCellSpacing w:w="14" w:type="dxa"/>
        </w:trPr>
        <w:tc>
          <w:tcPr>
            <w:tcW w:w="10287" w:type="dxa"/>
            <w:tcBorders>
              <w:top w:val="single" w:sz="4" w:space="0" w:color="70C165"/>
              <w:left w:val="single" w:sz="4" w:space="0" w:color="70C165"/>
              <w:bottom w:val="single" w:sz="4" w:space="0" w:color="70C165"/>
              <w:right w:val="single" w:sz="4" w:space="0" w:color="70C165"/>
            </w:tcBorders>
            <w:shd w:val="clear" w:color="auto" w:fill="DEEAF6" w:themeFill="accent1" w:themeFillTint="33"/>
            <w:vAlign w:val="center"/>
          </w:tcPr>
          <w:p w14:paraId="3B5F4905" w14:textId="77777777" w:rsidR="0044270B" w:rsidRPr="00175303" w:rsidRDefault="0044270B" w:rsidP="00BF175E">
            <w:pPr>
              <w:widowControl w:val="0"/>
              <w:autoSpaceDE w:val="0"/>
              <w:autoSpaceDN w:val="0"/>
              <w:adjustRightInd w:val="0"/>
              <w:contextualSpacing/>
              <w:rPr>
                <w:b/>
              </w:rPr>
            </w:pPr>
            <w:r w:rsidRPr="00175303">
              <w:rPr>
                <w:b/>
              </w:rPr>
              <w:t>Training and Development</w:t>
            </w:r>
          </w:p>
        </w:tc>
      </w:tr>
      <w:tr w:rsidR="0044270B" w14:paraId="3B5F4908" w14:textId="77777777" w:rsidTr="00BF175E">
        <w:trPr>
          <w:trHeight w:val="671"/>
          <w:tblCellSpacing w:w="14" w:type="dxa"/>
        </w:trPr>
        <w:tc>
          <w:tcPr>
            <w:tcW w:w="10287" w:type="dxa"/>
            <w:tcBorders>
              <w:top w:val="single" w:sz="4" w:space="0" w:color="70C165"/>
              <w:left w:val="single" w:sz="4" w:space="0" w:color="70C165"/>
              <w:bottom w:val="single" w:sz="4" w:space="0" w:color="70C165"/>
              <w:right w:val="single" w:sz="4" w:space="0" w:color="70C165"/>
            </w:tcBorders>
            <w:shd w:val="clear" w:color="auto" w:fill="auto"/>
            <w:vAlign w:val="center"/>
          </w:tcPr>
          <w:p w14:paraId="3B5F4907" w14:textId="1BEC485D" w:rsidR="0044270B" w:rsidRPr="0031008E" w:rsidRDefault="0044270B" w:rsidP="00BF175E">
            <w:pPr>
              <w:widowControl w:val="0"/>
              <w:numPr>
                <w:ilvl w:val="0"/>
                <w:numId w:val="3"/>
              </w:numPr>
              <w:autoSpaceDE w:val="0"/>
              <w:autoSpaceDN w:val="0"/>
              <w:adjustRightInd w:val="0"/>
              <w:spacing w:line="276" w:lineRule="auto"/>
              <w:ind w:left="465" w:hanging="357"/>
              <w:contextualSpacing/>
            </w:pPr>
            <w:r w:rsidRPr="00DD6855">
              <w:t>Training and development w</w:t>
            </w:r>
            <w:r w:rsidR="00C05E30">
              <w:t>ill be given to ensure that the</w:t>
            </w:r>
            <w:r w:rsidR="00477CA9">
              <w:rPr>
                <w:rFonts w:cs="Arial"/>
                <w:bCs/>
                <w:szCs w:val="24"/>
              </w:rPr>
              <w:t xml:space="preserve"> </w:t>
            </w:r>
            <w:r w:rsidR="00606286">
              <w:rPr>
                <w:rFonts w:cs="Arial"/>
                <w:bCs/>
                <w:szCs w:val="24"/>
              </w:rPr>
              <w:t>Governance Lead</w:t>
            </w:r>
            <w:r w:rsidR="00C05E30">
              <w:t xml:space="preserve"> </w:t>
            </w:r>
            <w:r w:rsidRPr="0031008E">
              <w:t>is</w:t>
            </w:r>
            <w:r w:rsidRPr="00DD6855">
              <w:t xml:space="preserve"> able to carry out their job and will play a full and active part in the performance </w:t>
            </w:r>
            <w:r>
              <w:t>of the Brooke Weston Trust.</w:t>
            </w:r>
          </w:p>
        </w:tc>
      </w:tr>
      <w:tr w:rsidR="0044270B" w14:paraId="3B5F490A" w14:textId="77777777" w:rsidTr="00BF175E">
        <w:trPr>
          <w:trHeight w:val="401"/>
          <w:tblCellSpacing w:w="14" w:type="dxa"/>
        </w:trPr>
        <w:tc>
          <w:tcPr>
            <w:tcW w:w="10287" w:type="dxa"/>
            <w:tcBorders>
              <w:top w:val="single" w:sz="4" w:space="0" w:color="70C165"/>
              <w:left w:val="single" w:sz="4" w:space="0" w:color="70C165"/>
              <w:bottom w:val="single" w:sz="4" w:space="0" w:color="70C165"/>
              <w:right w:val="single" w:sz="4" w:space="0" w:color="70C165"/>
            </w:tcBorders>
            <w:shd w:val="clear" w:color="auto" w:fill="DEEAF6" w:themeFill="accent1" w:themeFillTint="33"/>
            <w:vAlign w:val="center"/>
          </w:tcPr>
          <w:p w14:paraId="3B5F4909" w14:textId="77777777" w:rsidR="0044270B" w:rsidRPr="00CC52C1" w:rsidRDefault="0044270B" w:rsidP="00BF175E">
            <w:pPr>
              <w:widowControl w:val="0"/>
              <w:autoSpaceDE w:val="0"/>
              <w:autoSpaceDN w:val="0"/>
              <w:adjustRightInd w:val="0"/>
              <w:contextualSpacing/>
              <w:rPr>
                <w:b/>
              </w:rPr>
            </w:pPr>
            <w:r w:rsidRPr="00CC52C1">
              <w:rPr>
                <w:b/>
              </w:rPr>
              <w:t>Communication</w:t>
            </w:r>
          </w:p>
        </w:tc>
      </w:tr>
      <w:tr w:rsidR="0044270B" w14:paraId="3B5F490E" w14:textId="77777777" w:rsidTr="00BF175E">
        <w:trPr>
          <w:trHeight w:val="671"/>
          <w:tblCellSpacing w:w="14" w:type="dxa"/>
        </w:trPr>
        <w:tc>
          <w:tcPr>
            <w:tcW w:w="10287" w:type="dxa"/>
            <w:tcBorders>
              <w:top w:val="single" w:sz="4" w:space="0" w:color="70C165"/>
              <w:left w:val="single" w:sz="4" w:space="0" w:color="70C165"/>
              <w:bottom w:val="single" w:sz="4" w:space="0" w:color="70C165"/>
              <w:right w:val="single" w:sz="4" w:space="0" w:color="70C165"/>
            </w:tcBorders>
            <w:shd w:val="clear" w:color="auto" w:fill="auto"/>
            <w:vAlign w:val="center"/>
          </w:tcPr>
          <w:p w14:paraId="3B5F490B" w14:textId="52A0E137" w:rsidR="0044270B" w:rsidRPr="0078210F" w:rsidRDefault="00477CA9" w:rsidP="00BF175E">
            <w:pPr>
              <w:widowControl w:val="0"/>
              <w:autoSpaceDE w:val="0"/>
              <w:autoSpaceDN w:val="0"/>
              <w:adjustRightInd w:val="0"/>
              <w:rPr>
                <w:rFonts w:cs="Arial"/>
              </w:rPr>
            </w:pPr>
            <w:r>
              <w:rPr>
                <w:rFonts w:cs="Arial"/>
              </w:rPr>
              <w:t xml:space="preserve">The </w:t>
            </w:r>
            <w:r w:rsidR="00606286">
              <w:rPr>
                <w:rFonts w:cs="Arial"/>
              </w:rPr>
              <w:t xml:space="preserve">Governance Lead </w:t>
            </w:r>
            <w:r w:rsidR="0044270B" w:rsidRPr="0078210F">
              <w:rPr>
                <w:rFonts w:cs="Arial"/>
              </w:rPr>
              <w:t>will:</w:t>
            </w:r>
          </w:p>
          <w:p w14:paraId="3B5F490C" w14:textId="77777777" w:rsidR="0044270B" w:rsidRPr="0078210F" w:rsidRDefault="0044270B" w:rsidP="00BF175E">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3B5F490D" w14:textId="77777777" w:rsidR="0044270B" w:rsidRPr="00CC52C1" w:rsidRDefault="0044270B" w:rsidP="00BF175E">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44270B" w14:paraId="3B5F4910" w14:textId="77777777" w:rsidTr="00BF175E">
        <w:trPr>
          <w:trHeight w:val="443"/>
          <w:tblCellSpacing w:w="14" w:type="dxa"/>
        </w:trPr>
        <w:tc>
          <w:tcPr>
            <w:tcW w:w="10287" w:type="dxa"/>
            <w:tcBorders>
              <w:top w:val="single" w:sz="4" w:space="0" w:color="70C165"/>
              <w:left w:val="single" w:sz="4" w:space="0" w:color="70C165"/>
              <w:bottom w:val="single" w:sz="4" w:space="0" w:color="70C165"/>
              <w:right w:val="single" w:sz="4" w:space="0" w:color="70C165"/>
            </w:tcBorders>
            <w:shd w:val="clear" w:color="auto" w:fill="DEEAF6" w:themeFill="accent1" w:themeFillTint="33"/>
            <w:vAlign w:val="center"/>
          </w:tcPr>
          <w:p w14:paraId="3B5F490F" w14:textId="77777777" w:rsidR="0044270B" w:rsidRPr="0078210F" w:rsidRDefault="0044270B" w:rsidP="00BF175E">
            <w:pPr>
              <w:widowControl w:val="0"/>
              <w:autoSpaceDE w:val="0"/>
              <w:autoSpaceDN w:val="0"/>
              <w:adjustRightInd w:val="0"/>
              <w:rPr>
                <w:rFonts w:cs="Arial"/>
              </w:rPr>
            </w:pPr>
            <w:r w:rsidRPr="0078210F">
              <w:rPr>
                <w:rFonts w:cs="Arial"/>
                <w:b/>
                <w:bCs/>
              </w:rPr>
              <w:t xml:space="preserve">Discipline, </w:t>
            </w:r>
            <w:proofErr w:type="gramStart"/>
            <w:r w:rsidRPr="0078210F">
              <w:rPr>
                <w:rFonts w:cs="Arial"/>
                <w:b/>
                <w:bCs/>
              </w:rPr>
              <w:t>health</w:t>
            </w:r>
            <w:proofErr w:type="gramEnd"/>
            <w:r w:rsidRPr="0078210F">
              <w:rPr>
                <w:rFonts w:cs="Arial"/>
                <w:b/>
                <w:bCs/>
              </w:rPr>
              <w:t xml:space="preserve"> and safety </w:t>
            </w:r>
          </w:p>
        </w:tc>
      </w:tr>
      <w:tr w:rsidR="0044270B" w14:paraId="3B5F4912" w14:textId="77777777" w:rsidTr="00BF175E">
        <w:trPr>
          <w:trHeight w:val="671"/>
          <w:tblCellSpacing w:w="14" w:type="dxa"/>
        </w:trPr>
        <w:tc>
          <w:tcPr>
            <w:tcW w:w="10287" w:type="dxa"/>
            <w:tcBorders>
              <w:top w:val="single" w:sz="4" w:space="0" w:color="70C165"/>
              <w:left w:val="single" w:sz="4" w:space="0" w:color="70C165"/>
              <w:bottom w:val="single" w:sz="4" w:space="0" w:color="70C165"/>
              <w:right w:val="single" w:sz="4" w:space="0" w:color="70C165"/>
            </w:tcBorders>
            <w:shd w:val="clear" w:color="auto" w:fill="auto"/>
            <w:vAlign w:val="center"/>
          </w:tcPr>
          <w:p w14:paraId="3B5F4911" w14:textId="77777777" w:rsidR="0044270B" w:rsidRPr="00CC52C1" w:rsidRDefault="0044270B" w:rsidP="00BF175E">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44270B" w14:paraId="3B5F4914" w14:textId="77777777" w:rsidTr="00BF175E">
        <w:trPr>
          <w:trHeight w:val="423"/>
          <w:tblCellSpacing w:w="14" w:type="dxa"/>
        </w:trPr>
        <w:tc>
          <w:tcPr>
            <w:tcW w:w="10287" w:type="dxa"/>
            <w:tcBorders>
              <w:top w:val="single" w:sz="4" w:space="0" w:color="70C165"/>
              <w:left w:val="single" w:sz="4" w:space="0" w:color="70C165"/>
              <w:bottom w:val="single" w:sz="4" w:space="0" w:color="70C165"/>
              <w:right w:val="single" w:sz="4" w:space="0" w:color="70C165"/>
            </w:tcBorders>
            <w:shd w:val="clear" w:color="auto" w:fill="DEEAF6" w:themeFill="accent1" w:themeFillTint="33"/>
            <w:vAlign w:val="center"/>
          </w:tcPr>
          <w:p w14:paraId="3B5F4913" w14:textId="77777777" w:rsidR="0044270B" w:rsidRPr="00CC52C1" w:rsidRDefault="0044270B" w:rsidP="00BF175E">
            <w:pPr>
              <w:widowControl w:val="0"/>
              <w:autoSpaceDE w:val="0"/>
              <w:autoSpaceDN w:val="0"/>
              <w:adjustRightInd w:val="0"/>
              <w:rPr>
                <w:rFonts w:cs="Arial"/>
                <w:b/>
              </w:rPr>
            </w:pPr>
            <w:r w:rsidRPr="00CC52C1">
              <w:rPr>
                <w:rFonts w:cs="Arial"/>
                <w:b/>
              </w:rPr>
              <w:t>Hours of work</w:t>
            </w:r>
          </w:p>
        </w:tc>
      </w:tr>
      <w:tr w:rsidR="0044270B" w14:paraId="3B5F4916" w14:textId="77777777" w:rsidTr="00BF175E">
        <w:trPr>
          <w:trHeight w:val="423"/>
          <w:tblCellSpacing w:w="14" w:type="dxa"/>
        </w:trPr>
        <w:tc>
          <w:tcPr>
            <w:tcW w:w="10287" w:type="dxa"/>
            <w:tcBorders>
              <w:top w:val="single" w:sz="4" w:space="0" w:color="70C165"/>
              <w:left w:val="single" w:sz="4" w:space="0" w:color="70C165"/>
              <w:bottom w:val="single" w:sz="4" w:space="0" w:color="70C165"/>
              <w:right w:val="single" w:sz="4" w:space="0" w:color="70C165"/>
            </w:tcBorders>
            <w:shd w:val="clear" w:color="auto" w:fill="auto"/>
          </w:tcPr>
          <w:p w14:paraId="3B5F4915" w14:textId="00802A61" w:rsidR="0044270B" w:rsidRPr="00CC52C1" w:rsidRDefault="00477CA9" w:rsidP="00BF175E">
            <w:pPr>
              <w:pStyle w:val="ListParagraph"/>
              <w:widowControl w:val="0"/>
              <w:numPr>
                <w:ilvl w:val="0"/>
                <w:numId w:val="3"/>
              </w:numPr>
              <w:autoSpaceDE w:val="0"/>
              <w:autoSpaceDN w:val="0"/>
              <w:adjustRightInd w:val="0"/>
              <w:rPr>
                <w:rFonts w:cs="Arial"/>
                <w:b/>
              </w:rPr>
            </w:pPr>
            <w:r>
              <w:t xml:space="preserve">The </w:t>
            </w:r>
            <w:r w:rsidR="00904027">
              <w:t xml:space="preserve">Head of Governance is </w:t>
            </w:r>
            <w:r w:rsidR="0044270B">
              <w:t>emp</w:t>
            </w:r>
            <w:r w:rsidR="007D09E6">
              <w:t xml:space="preserve">loyed for </w:t>
            </w:r>
            <w:r w:rsidR="00F40116">
              <w:t>37</w:t>
            </w:r>
            <w:r w:rsidR="007D09E6">
              <w:t xml:space="preserve"> hours per week for </w:t>
            </w:r>
            <w:r w:rsidR="00B70803">
              <w:t>52</w:t>
            </w:r>
            <w:r w:rsidR="007D09E6">
              <w:t xml:space="preserve"> weeks per year</w:t>
            </w:r>
          </w:p>
        </w:tc>
      </w:tr>
    </w:tbl>
    <w:p w14:paraId="3B5F4917" w14:textId="77777777" w:rsidR="0044270B" w:rsidRDefault="0044270B" w:rsidP="0044270B">
      <w:pPr>
        <w:rPr>
          <w:sz w:val="2"/>
        </w:rPr>
      </w:pPr>
    </w:p>
    <w:p w14:paraId="3B5F4918" w14:textId="77777777" w:rsidR="0044270B" w:rsidRDefault="0044270B" w:rsidP="0044270B">
      <w:pPr>
        <w:rPr>
          <w:sz w:val="2"/>
        </w:rPr>
      </w:pPr>
      <w:r>
        <w:rPr>
          <w:sz w:val="2"/>
        </w:rPr>
        <w:br w:type="textWrapping" w:clear="all"/>
      </w:r>
    </w:p>
    <w:tbl>
      <w:tblPr>
        <w:tblpPr w:leftFromText="180" w:rightFromText="180" w:vertAnchor="text" w:tblpX="-614" w:tblpY="1"/>
        <w:tblOverlap w:val="never"/>
        <w:tblW w:w="10301" w:type="dxa"/>
        <w:tblCellSpacing w:w="14" w:type="dxa"/>
        <w:tblCellMar>
          <w:top w:w="57" w:type="dxa"/>
          <w:left w:w="57" w:type="dxa"/>
          <w:bottom w:w="57" w:type="dxa"/>
          <w:right w:w="57" w:type="dxa"/>
        </w:tblCellMar>
        <w:tblLook w:val="04A0" w:firstRow="1" w:lastRow="0" w:firstColumn="1" w:lastColumn="0" w:noHBand="0" w:noVBand="1"/>
      </w:tblPr>
      <w:tblGrid>
        <w:gridCol w:w="10301"/>
      </w:tblGrid>
      <w:tr w:rsidR="0044270B" w14:paraId="3B5F491A" w14:textId="77777777" w:rsidTr="00C40DFC">
        <w:trPr>
          <w:trHeight w:val="397"/>
          <w:tblCellSpacing w:w="14" w:type="dxa"/>
        </w:trPr>
        <w:tc>
          <w:tcPr>
            <w:tcW w:w="10245" w:type="dxa"/>
            <w:tcBorders>
              <w:top w:val="single" w:sz="4" w:space="0" w:color="919EC5"/>
              <w:left w:val="single" w:sz="4" w:space="0" w:color="919EC5"/>
              <w:bottom w:val="single" w:sz="4" w:space="0" w:color="919EC5"/>
              <w:right w:val="single" w:sz="4" w:space="0" w:color="919EC5"/>
            </w:tcBorders>
            <w:shd w:val="clear" w:color="auto" w:fill="DEEAF6" w:themeFill="accent1" w:themeFillTint="33"/>
            <w:vAlign w:val="center"/>
          </w:tcPr>
          <w:p w14:paraId="3B5F4919" w14:textId="77777777" w:rsidR="0044270B" w:rsidRPr="00CF1FB1" w:rsidRDefault="0044270B" w:rsidP="00C40DFC">
            <w:pPr>
              <w:rPr>
                <w:b/>
              </w:rPr>
            </w:pPr>
            <w:r w:rsidRPr="00CF1FB1">
              <w:rPr>
                <w:b/>
              </w:rPr>
              <w:t>Collegiate responsibility</w:t>
            </w:r>
          </w:p>
        </w:tc>
      </w:tr>
      <w:tr w:rsidR="0044270B" w14:paraId="3B5F491F" w14:textId="77777777" w:rsidTr="00C40DFC">
        <w:trPr>
          <w:trHeight w:val="1483"/>
          <w:tblCellSpacing w:w="14" w:type="dxa"/>
        </w:trPr>
        <w:tc>
          <w:tcPr>
            <w:tcW w:w="10245" w:type="dxa"/>
            <w:tcBorders>
              <w:top w:val="single" w:sz="4" w:space="0" w:color="70C165"/>
              <w:left w:val="single" w:sz="4" w:space="0" w:color="70C165"/>
              <w:bottom w:val="single" w:sz="4" w:space="0" w:color="70C165"/>
              <w:right w:val="single" w:sz="4" w:space="0" w:color="70C165"/>
            </w:tcBorders>
            <w:shd w:val="clear" w:color="auto" w:fill="auto"/>
          </w:tcPr>
          <w:p w14:paraId="3B5F491C" w14:textId="2F58C004" w:rsidR="0044270B" w:rsidRPr="0078210F" w:rsidRDefault="0044270B" w:rsidP="00F40116">
            <w:pPr>
              <w:pStyle w:val="NoSpacing"/>
            </w:pPr>
            <w:r w:rsidRPr="0078210F">
              <w:lastRenderedPageBreak/>
              <w:t xml:space="preserve">In </w:t>
            </w:r>
            <w:r w:rsidRPr="00035D44">
              <w:t>add</w:t>
            </w:r>
            <w:r>
              <w:t>ition to the spec</w:t>
            </w:r>
            <w:r w:rsidRPr="0078210F">
              <w:t>ific responsibilities of this post, every employee of the Brooke Weston Trust will commit to:</w:t>
            </w:r>
          </w:p>
          <w:p w14:paraId="3B5F491D" w14:textId="77777777" w:rsidR="0044270B" w:rsidRPr="0078210F" w:rsidRDefault="0044270B" w:rsidP="00C40DFC">
            <w:pPr>
              <w:pStyle w:val="ListParagraph"/>
              <w:numPr>
                <w:ilvl w:val="0"/>
                <w:numId w:val="2"/>
              </w:numPr>
              <w:ind w:right="47"/>
            </w:pPr>
            <w:r w:rsidRPr="0078210F">
              <w:t xml:space="preserve">providing a courteous and efficient service to students and staff at all </w:t>
            </w:r>
            <w:proofErr w:type="gramStart"/>
            <w:r w:rsidRPr="0078210F">
              <w:t>times;</w:t>
            </w:r>
            <w:proofErr w:type="gramEnd"/>
          </w:p>
          <w:p w14:paraId="0424BCE3" w14:textId="77777777" w:rsidR="0044270B" w:rsidRDefault="0044270B" w:rsidP="00C40DFC">
            <w:pPr>
              <w:pStyle w:val="ListParagraph"/>
              <w:numPr>
                <w:ilvl w:val="0"/>
                <w:numId w:val="2"/>
              </w:numPr>
            </w:pPr>
            <w:r w:rsidRPr="0078210F">
              <w:t xml:space="preserve">using their influence with other staff and students to promote high standards of behaviour </w:t>
            </w:r>
          </w:p>
          <w:p w14:paraId="3B5F491E" w14:textId="3670C6C9" w:rsidR="00F40116" w:rsidRDefault="00F40116" w:rsidP="00C40DFC">
            <w:pPr>
              <w:pStyle w:val="ListParagraph"/>
              <w:numPr>
                <w:ilvl w:val="0"/>
                <w:numId w:val="2"/>
              </w:numPr>
            </w:pPr>
            <w:r>
              <w:t xml:space="preserve">reflect our approach to developing a strong and effective CORE team, enabling our schools to deliver and achieve our mission </w:t>
            </w:r>
          </w:p>
        </w:tc>
      </w:tr>
      <w:tr w:rsidR="0044270B" w14:paraId="3B5F4921" w14:textId="77777777" w:rsidTr="00C40DFC">
        <w:trPr>
          <w:trHeight w:val="441"/>
          <w:tblCellSpacing w:w="14" w:type="dxa"/>
        </w:trPr>
        <w:tc>
          <w:tcPr>
            <w:tcW w:w="10245" w:type="dxa"/>
            <w:tcBorders>
              <w:top w:val="single" w:sz="4" w:space="0" w:color="919EC5"/>
              <w:left w:val="single" w:sz="4" w:space="0" w:color="919EC5"/>
              <w:bottom w:val="single" w:sz="4" w:space="0" w:color="919EC5"/>
              <w:right w:val="single" w:sz="4" w:space="0" w:color="919EC5"/>
            </w:tcBorders>
            <w:shd w:val="clear" w:color="auto" w:fill="DEEAF6" w:themeFill="accent1" w:themeFillTint="33"/>
            <w:vAlign w:val="center"/>
          </w:tcPr>
          <w:p w14:paraId="3B5F4920" w14:textId="77777777" w:rsidR="0044270B" w:rsidRPr="00CF1FB1" w:rsidRDefault="0044270B" w:rsidP="00C40DFC">
            <w:pPr>
              <w:rPr>
                <w:b/>
              </w:rPr>
            </w:pPr>
            <w:r w:rsidRPr="00CF1FB1">
              <w:rPr>
                <w:b/>
              </w:rPr>
              <w:t>Performance Management</w:t>
            </w:r>
          </w:p>
        </w:tc>
      </w:tr>
      <w:tr w:rsidR="0044270B" w14:paraId="3B5F4926" w14:textId="77777777" w:rsidTr="00C40DFC">
        <w:trPr>
          <w:trHeight w:val="848"/>
          <w:tblCellSpacing w:w="14" w:type="dxa"/>
        </w:trPr>
        <w:tc>
          <w:tcPr>
            <w:tcW w:w="10245" w:type="dxa"/>
            <w:tcBorders>
              <w:top w:val="single" w:sz="4" w:space="0" w:color="70C165"/>
              <w:left w:val="single" w:sz="4" w:space="0" w:color="70C165"/>
              <w:bottom w:val="single" w:sz="4" w:space="0" w:color="70C165"/>
              <w:right w:val="single" w:sz="4" w:space="0" w:color="70C165"/>
            </w:tcBorders>
            <w:shd w:val="clear" w:color="auto" w:fill="auto"/>
            <w:vAlign w:val="center"/>
          </w:tcPr>
          <w:p w14:paraId="3B5F4922" w14:textId="5E74BD42" w:rsidR="0044270B" w:rsidRPr="0078210F" w:rsidRDefault="0044270B" w:rsidP="00C40DFC">
            <w:r w:rsidRPr="0078210F">
              <w:t>The</w:t>
            </w:r>
            <w:r w:rsidR="000A1877">
              <w:t xml:space="preserve"> </w:t>
            </w:r>
            <w:r w:rsidR="00904027">
              <w:rPr>
                <w:rFonts w:cs="Arial"/>
                <w:bCs/>
                <w:szCs w:val="24"/>
              </w:rPr>
              <w:t xml:space="preserve">Head of Governance </w:t>
            </w:r>
            <w:r w:rsidRPr="0078210F">
              <w:t>be subject to the Brooke Weston Trust’s Performance Management arrangements as set out in the relevant policies.</w:t>
            </w:r>
          </w:p>
          <w:p w14:paraId="3B5F4923" w14:textId="77777777" w:rsidR="0044270B" w:rsidRPr="0078210F" w:rsidRDefault="0044270B" w:rsidP="00C40DFC"/>
          <w:p w14:paraId="3B5F4924" w14:textId="77777777" w:rsidR="0044270B" w:rsidRPr="0078210F" w:rsidRDefault="0044270B" w:rsidP="00C40DFC">
            <w:pPr>
              <w:widowControl w:val="0"/>
              <w:autoSpaceDE w:val="0"/>
              <w:autoSpaceDN w:val="0"/>
              <w:adjustRightInd w:val="0"/>
              <w:rPr>
                <w:rFonts w:cs="Arial"/>
              </w:rPr>
            </w:pPr>
            <w:r w:rsidRPr="0078210F">
              <w:rPr>
                <w:rFonts w:ascii="Arial" w:hAnsi="Arial" w:cs="Arial"/>
                <w:b/>
                <w:bCs/>
              </w:rPr>
              <w:t>A</w:t>
            </w:r>
            <w:r w:rsidRPr="0078210F">
              <w:rPr>
                <w:rFonts w:cs="Arial"/>
                <w:b/>
                <w:bCs/>
              </w:rPr>
              <w:t>ppraisal</w:t>
            </w:r>
            <w:r w:rsidRPr="0078210F">
              <w:rPr>
                <w:rFonts w:cs="Arial"/>
              </w:rPr>
              <w:t xml:space="preserve"> </w:t>
            </w:r>
          </w:p>
          <w:p w14:paraId="3B5F4925" w14:textId="4377B6C5" w:rsidR="0044270B" w:rsidRPr="00CD2870" w:rsidRDefault="0044270B" w:rsidP="00C40DFC">
            <w:r w:rsidRPr="0078210F">
              <w:rPr>
                <w:rFonts w:cs="Arial"/>
              </w:rPr>
              <w:t>The</w:t>
            </w:r>
            <w:r w:rsidRPr="0078210F">
              <w:t xml:space="preserve"> </w:t>
            </w:r>
            <w:r w:rsidR="00904027">
              <w:rPr>
                <w:rFonts w:cs="Arial"/>
                <w:bCs/>
                <w:szCs w:val="24"/>
              </w:rPr>
              <w:t xml:space="preserve">Head of </w:t>
            </w:r>
            <w:proofErr w:type="gramStart"/>
            <w:r w:rsidR="00904027">
              <w:rPr>
                <w:rFonts w:cs="Arial"/>
                <w:bCs/>
                <w:szCs w:val="24"/>
              </w:rPr>
              <w:t>Governance  will</w:t>
            </w:r>
            <w:proofErr w:type="gramEnd"/>
            <w:r w:rsidR="00904027">
              <w:rPr>
                <w:rFonts w:cs="Arial"/>
                <w:bCs/>
                <w:szCs w:val="24"/>
              </w:rPr>
              <w:t xml:space="preserve"> </w:t>
            </w:r>
            <w:r w:rsidRPr="0078210F">
              <w:rPr>
                <w:rFonts w:cs="Arial"/>
              </w:rPr>
              <w:t>benefit from an appraisal system modelled on best practice in performance management. They will participate in arrangements for the appraisal of their own performance.</w:t>
            </w:r>
          </w:p>
        </w:tc>
      </w:tr>
      <w:tr w:rsidR="0044270B" w14:paraId="3B5F4928" w14:textId="77777777" w:rsidTr="00C40DFC">
        <w:trPr>
          <w:trHeight w:val="475"/>
          <w:tblCellSpacing w:w="14" w:type="dxa"/>
        </w:trPr>
        <w:tc>
          <w:tcPr>
            <w:tcW w:w="10245" w:type="dxa"/>
            <w:tcBorders>
              <w:top w:val="single" w:sz="4" w:space="0" w:color="919EC5"/>
              <w:left w:val="single" w:sz="4" w:space="0" w:color="919EC5"/>
              <w:bottom w:val="single" w:sz="4" w:space="0" w:color="919EC5"/>
              <w:right w:val="single" w:sz="4" w:space="0" w:color="919EC5"/>
            </w:tcBorders>
            <w:shd w:val="clear" w:color="auto" w:fill="DEEAF6" w:themeFill="accent1" w:themeFillTint="33"/>
            <w:vAlign w:val="center"/>
          </w:tcPr>
          <w:p w14:paraId="3B5F4927" w14:textId="77777777" w:rsidR="0044270B" w:rsidRPr="00CF1FB1" w:rsidRDefault="0044270B" w:rsidP="00C40DFC">
            <w:pPr>
              <w:rPr>
                <w:b/>
              </w:rPr>
            </w:pPr>
            <w:r w:rsidRPr="00CF1FB1">
              <w:rPr>
                <w:b/>
              </w:rPr>
              <w:t>Role Review</w:t>
            </w:r>
          </w:p>
        </w:tc>
      </w:tr>
      <w:tr w:rsidR="0044270B" w14:paraId="3B5F492A" w14:textId="77777777" w:rsidTr="00C40DFC">
        <w:trPr>
          <w:trHeight w:val="637"/>
          <w:tblCellSpacing w:w="14" w:type="dxa"/>
        </w:trPr>
        <w:tc>
          <w:tcPr>
            <w:tcW w:w="10245" w:type="dxa"/>
            <w:tcBorders>
              <w:top w:val="single" w:sz="4" w:space="0" w:color="70C165"/>
              <w:left w:val="single" w:sz="4" w:space="0" w:color="70C165"/>
              <w:bottom w:val="single" w:sz="4" w:space="0" w:color="70C165"/>
              <w:right w:val="single" w:sz="4" w:space="0" w:color="70C165"/>
            </w:tcBorders>
            <w:shd w:val="clear" w:color="auto" w:fill="auto"/>
          </w:tcPr>
          <w:p w14:paraId="3B5F4929" w14:textId="77777777" w:rsidR="0044270B" w:rsidRPr="00CD2870" w:rsidRDefault="0044270B" w:rsidP="00C40DFC">
            <w:pPr>
              <w:pStyle w:val="NoSpacing"/>
            </w:pPr>
            <w:r w:rsidRPr="0078210F">
              <w:t>This job description sets out the main duties of the post at the time of drafting. It cannot be read as an exhaustive list. It may be altered at any time in consultation with the post holder subject to the CEO's approval.</w:t>
            </w:r>
          </w:p>
        </w:tc>
      </w:tr>
    </w:tbl>
    <w:p w14:paraId="3B5F492B" w14:textId="77777777" w:rsidR="0044270B" w:rsidRDefault="0044270B" w:rsidP="0044270B">
      <w:pPr>
        <w:rPr>
          <w:sz w:val="2"/>
        </w:rPr>
      </w:pPr>
    </w:p>
    <w:p w14:paraId="3B5F492C" w14:textId="77777777" w:rsidR="00526103" w:rsidRPr="0044270B" w:rsidRDefault="00526103">
      <w:pPr>
        <w:rPr>
          <w:sz w:val="2"/>
        </w:rPr>
      </w:pPr>
    </w:p>
    <w:sectPr w:rsidR="00526103" w:rsidRPr="0044270B" w:rsidSect="00CC0E48">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D699" w14:textId="77777777" w:rsidR="00221D86" w:rsidRDefault="00221D86" w:rsidP="00CC0E48">
      <w:r>
        <w:separator/>
      </w:r>
    </w:p>
  </w:endnote>
  <w:endnote w:type="continuationSeparator" w:id="0">
    <w:p w14:paraId="5F484EB0" w14:textId="77777777" w:rsidR="00221D86" w:rsidRDefault="00221D86" w:rsidP="00CC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7054" w14:textId="77777777" w:rsidR="00221D86" w:rsidRDefault="00221D86" w:rsidP="00CC0E48">
      <w:r>
        <w:separator/>
      </w:r>
    </w:p>
  </w:footnote>
  <w:footnote w:type="continuationSeparator" w:id="0">
    <w:p w14:paraId="110353F5" w14:textId="77777777" w:rsidR="00221D86" w:rsidRDefault="00221D86" w:rsidP="00CC0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EDF3" w14:textId="66832D5B" w:rsidR="00CC0E48" w:rsidRDefault="00CC0E48">
    <w:pPr>
      <w:pStyle w:val="Header"/>
    </w:pPr>
    <w:r>
      <w:rPr>
        <w:noProof/>
        <w:lang w:eastAsia="en-GB"/>
      </w:rPr>
      <w:drawing>
        <wp:anchor distT="0" distB="0" distL="114300" distR="114300" simplePos="0" relativeHeight="251659264" behindDoc="1" locked="0" layoutInCell="1" allowOverlap="1" wp14:anchorId="516FDA8B" wp14:editId="26FE912D">
          <wp:simplePos x="0" y="0"/>
          <wp:positionH relativeFrom="column">
            <wp:posOffset>3712191</wp:posOffset>
          </wp:positionH>
          <wp:positionV relativeFrom="paragraph">
            <wp:posOffset>-205351</wp:posOffset>
          </wp:positionV>
          <wp:extent cx="2457450" cy="566597"/>
          <wp:effectExtent l="0" t="0" r="0" b="5080"/>
          <wp:wrapNone/>
          <wp:docPr id="1" name="Picture 1" descr="C:\Users\Anna\AppData\Local\Microsoft\Windows\INetCache\Content.Word\bwt-logo-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AppData\Local\Microsoft\Windows\INetCache\Content.Word\bwt-logo-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7450" cy="5665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19B415E"/>
    <w:multiLevelType w:val="hybridMultilevel"/>
    <w:tmpl w:val="A1CC9784"/>
    <w:lvl w:ilvl="0" w:tplc="0809000F">
      <w:start w:val="1"/>
      <w:numFmt w:val="decimal"/>
      <w:lvlText w:val="%1."/>
      <w:lvlJc w:val="left"/>
      <w:pPr>
        <w:ind w:left="720" w:hanging="360"/>
      </w:pPr>
    </w:lvl>
    <w:lvl w:ilvl="1" w:tplc="37EE148E">
      <w:start w:val="1"/>
      <w:numFmt w:val="lowerRoman"/>
      <w:lvlText w:val="%2)"/>
      <w:lvlJc w:val="left"/>
      <w:pPr>
        <w:ind w:left="1800" w:hanging="72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356DC"/>
    <w:multiLevelType w:val="hybridMultilevel"/>
    <w:tmpl w:val="424600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F2438"/>
    <w:multiLevelType w:val="hybridMultilevel"/>
    <w:tmpl w:val="54D84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828F5"/>
    <w:multiLevelType w:val="hybridMultilevel"/>
    <w:tmpl w:val="EC2033A0"/>
    <w:lvl w:ilvl="0" w:tplc="A23C746A">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B3152"/>
    <w:multiLevelType w:val="hybridMultilevel"/>
    <w:tmpl w:val="B8645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A0281"/>
    <w:multiLevelType w:val="hybridMultilevel"/>
    <w:tmpl w:val="738C5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301C3"/>
    <w:multiLevelType w:val="hybridMultilevel"/>
    <w:tmpl w:val="30267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225D16"/>
    <w:multiLevelType w:val="hybridMultilevel"/>
    <w:tmpl w:val="C7408F3C"/>
    <w:lvl w:ilvl="0" w:tplc="A23C746A">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7257E"/>
    <w:multiLevelType w:val="hybridMultilevel"/>
    <w:tmpl w:val="35BA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B8275D"/>
    <w:multiLevelType w:val="hybridMultilevel"/>
    <w:tmpl w:val="84FA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A57F5C"/>
    <w:multiLevelType w:val="hybridMultilevel"/>
    <w:tmpl w:val="4C4EC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42446"/>
    <w:multiLevelType w:val="hybridMultilevel"/>
    <w:tmpl w:val="7FF67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5B53BB"/>
    <w:multiLevelType w:val="hybridMultilevel"/>
    <w:tmpl w:val="C5944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205203"/>
    <w:multiLevelType w:val="hybridMultilevel"/>
    <w:tmpl w:val="F4C0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83387"/>
    <w:multiLevelType w:val="hybridMultilevel"/>
    <w:tmpl w:val="8AC2D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2E08BF"/>
    <w:multiLevelType w:val="hybridMultilevel"/>
    <w:tmpl w:val="73E81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59098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4B6315"/>
    <w:multiLevelType w:val="hybridMultilevel"/>
    <w:tmpl w:val="D654D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D91449A"/>
    <w:multiLevelType w:val="hybridMultilevel"/>
    <w:tmpl w:val="0AD0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6F4552"/>
    <w:multiLevelType w:val="hybridMultilevel"/>
    <w:tmpl w:val="2B1ACFAC"/>
    <w:lvl w:ilvl="0" w:tplc="A23C746A">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89742D"/>
    <w:multiLevelType w:val="hybridMultilevel"/>
    <w:tmpl w:val="678CD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C9B39D1"/>
    <w:multiLevelType w:val="hybridMultilevel"/>
    <w:tmpl w:val="A134E800"/>
    <w:lvl w:ilvl="0" w:tplc="A23C746A">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367DD0"/>
    <w:multiLevelType w:val="hybridMultilevel"/>
    <w:tmpl w:val="F6E4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5E7426"/>
    <w:multiLevelType w:val="hybridMultilevel"/>
    <w:tmpl w:val="C72A4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1A46BE5"/>
    <w:multiLevelType w:val="hybridMultilevel"/>
    <w:tmpl w:val="028C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310CD"/>
    <w:multiLevelType w:val="hybridMultilevel"/>
    <w:tmpl w:val="90DAA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C236A5"/>
    <w:multiLevelType w:val="hybridMultilevel"/>
    <w:tmpl w:val="25DE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866D3"/>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66512"/>
    <w:multiLevelType w:val="hybridMultilevel"/>
    <w:tmpl w:val="51E2E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A05978"/>
    <w:multiLevelType w:val="hybridMultilevel"/>
    <w:tmpl w:val="2EA4C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75580929">
    <w:abstractNumId w:val="0"/>
    <w:lvlOverride w:ilvl="0">
      <w:lvl w:ilvl="0">
        <w:numFmt w:val="bullet"/>
        <w:lvlText w:val=""/>
        <w:legacy w:legacy="1" w:legacySpace="0" w:legacyIndent="0"/>
        <w:lvlJc w:val="left"/>
        <w:rPr>
          <w:rFonts w:ascii="Symbol" w:hAnsi="Symbol" w:hint="default"/>
        </w:rPr>
      </w:lvl>
    </w:lvlOverride>
  </w:num>
  <w:num w:numId="2" w16cid:durableId="1068380511">
    <w:abstractNumId w:val="19"/>
  </w:num>
  <w:num w:numId="3" w16cid:durableId="1572885329">
    <w:abstractNumId w:val="22"/>
  </w:num>
  <w:num w:numId="4" w16cid:durableId="1580867349">
    <w:abstractNumId w:val="18"/>
  </w:num>
  <w:num w:numId="5" w16cid:durableId="2145271523">
    <w:abstractNumId w:val="17"/>
  </w:num>
  <w:num w:numId="6" w16cid:durableId="1486387097">
    <w:abstractNumId w:val="31"/>
  </w:num>
  <w:num w:numId="7" w16cid:durableId="720061855">
    <w:abstractNumId w:val="29"/>
  </w:num>
  <w:num w:numId="8" w16cid:durableId="1371764061">
    <w:abstractNumId w:val="2"/>
  </w:num>
  <w:num w:numId="9" w16cid:durableId="1078094730">
    <w:abstractNumId w:val="15"/>
  </w:num>
  <w:num w:numId="10" w16cid:durableId="1100950679">
    <w:abstractNumId w:val="7"/>
  </w:num>
  <w:num w:numId="11" w16cid:durableId="894004609">
    <w:abstractNumId w:val="10"/>
  </w:num>
  <w:num w:numId="12" w16cid:durableId="522477368">
    <w:abstractNumId w:val="20"/>
  </w:num>
  <w:num w:numId="13" w16cid:durableId="1943755128">
    <w:abstractNumId w:val="33"/>
  </w:num>
  <w:num w:numId="14" w16cid:durableId="1621372432">
    <w:abstractNumId w:val="24"/>
  </w:num>
  <w:num w:numId="15" w16cid:durableId="178128597">
    <w:abstractNumId w:val="1"/>
  </w:num>
  <w:num w:numId="16" w16cid:durableId="1931238420">
    <w:abstractNumId w:val="27"/>
  </w:num>
  <w:num w:numId="17" w16cid:durableId="642539213">
    <w:abstractNumId w:val="5"/>
  </w:num>
  <w:num w:numId="18" w16cid:durableId="1700667083">
    <w:abstractNumId w:val="12"/>
  </w:num>
  <w:num w:numId="19" w16cid:durableId="27150895">
    <w:abstractNumId w:val="3"/>
  </w:num>
  <w:num w:numId="20" w16cid:durableId="1951156557">
    <w:abstractNumId w:val="11"/>
  </w:num>
  <w:num w:numId="21" w16cid:durableId="585842840">
    <w:abstractNumId w:val="16"/>
  </w:num>
  <w:num w:numId="22" w16cid:durableId="1795639997">
    <w:abstractNumId w:val="14"/>
  </w:num>
  <w:num w:numId="23" w16cid:durableId="1778478797">
    <w:abstractNumId w:val="32"/>
  </w:num>
  <w:num w:numId="24" w16cid:durableId="13071676">
    <w:abstractNumId w:val="21"/>
  </w:num>
  <w:num w:numId="25" w16cid:durableId="1838767431">
    <w:abstractNumId w:val="30"/>
  </w:num>
  <w:num w:numId="26" w16cid:durableId="1353142176">
    <w:abstractNumId w:val="26"/>
  </w:num>
  <w:num w:numId="27" w16cid:durableId="477958819">
    <w:abstractNumId w:val="9"/>
  </w:num>
  <w:num w:numId="28" w16cid:durableId="770205710">
    <w:abstractNumId w:val="6"/>
  </w:num>
  <w:num w:numId="29" w16cid:durableId="778645362">
    <w:abstractNumId w:val="28"/>
  </w:num>
  <w:num w:numId="30" w16cid:durableId="179202758">
    <w:abstractNumId w:val="25"/>
  </w:num>
  <w:num w:numId="31" w16cid:durableId="784539512">
    <w:abstractNumId w:val="23"/>
  </w:num>
  <w:num w:numId="32" w16cid:durableId="1497648844">
    <w:abstractNumId w:val="8"/>
  </w:num>
  <w:num w:numId="33" w16cid:durableId="1610746407">
    <w:abstractNumId w:val="4"/>
  </w:num>
  <w:num w:numId="34" w16cid:durableId="2137944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70B"/>
    <w:rsid w:val="00083963"/>
    <w:rsid w:val="000A1877"/>
    <w:rsid w:val="000B52DC"/>
    <w:rsid w:val="00215F69"/>
    <w:rsid w:val="00221D86"/>
    <w:rsid w:val="002C7698"/>
    <w:rsid w:val="00337782"/>
    <w:rsid w:val="00340931"/>
    <w:rsid w:val="00367807"/>
    <w:rsid w:val="003B7186"/>
    <w:rsid w:val="0044270B"/>
    <w:rsid w:val="00477CA9"/>
    <w:rsid w:val="004E223C"/>
    <w:rsid w:val="004E4B25"/>
    <w:rsid w:val="00526103"/>
    <w:rsid w:val="00553631"/>
    <w:rsid w:val="00576083"/>
    <w:rsid w:val="005879E8"/>
    <w:rsid w:val="005F2AEB"/>
    <w:rsid w:val="00606286"/>
    <w:rsid w:val="006A5E68"/>
    <w:rsid w:val="007B7711"/>
    <w:rsid w:val="007C4EF2"/>
    <w:rsid w:val="007D09E6"/>
    <w:rsid w:val="007E6DAB"/>
    <w:rsid w:val="00904027"/>
    <w:rsid w:val="009436E3"/>
    <w:rsid w:val="00965C91"/>
    <w:rsid w:val="00977343"/>
    <w:rsid w:val="009A62C2"/>
    <w:rsid w:val="009C7CD3"/>
    <w:rsid w:val="00A16407"/>
    <w:rsid w:val="00A36425"/>
    <w:rsid w:val="00A55481"/>
    <w:rsid w:val="00AB0522"/>
    <w:rsid w:val="00AD0009"/>
    <w:rsid w:val="00B70803"/>
    <w:rsid w:val="00B87098"/>
    <w:rsid w:val="00BF175E"/>
    <w:rsid w:val="00C05E30"/>
    <w:rsid w:val="00C379D5"/>
    <w:rsid w:val="00C40DFC"/>
    <w:rsid w:val="00CB310D"/>
    <w:rsid w:val="00CC0E48"/>
    <w:rsid w:val="00D07A0F"/>
    <w:rsid w:val="00D97F7F"/>
    <w:rsid w:val="00DB6063"/>
    <w:rsid w:val="00E37DF7"/>
    <w:rsid w:val="00E37E6D"/>
    <w:rsid w:val="00E46D0C"/>
    <w:rsid w:val="00E84140"/>
    <w:rsid w:val="00ED0FA0"/>
    <w:rsid w:val="00EE7433"/>
    <w:rsid w:val="00F1773B"/>
    <w:rsid w:val="00F40116"/>
    <w:rsid w:val="00F91B44"/>
    <w:rsid w:val="00FB2578"/>
    <w:rsid w:val="00FF0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48D5"/>
  <w15:docId w15:val="{4FDB4EBC-3282-4630-955F-093E2B57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70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70B"/>
    <w:pPr>
      <w:ind w:left="720"/>
      <w:contextualSpacing/>
    </w:pPr>
  </w:style>
  <w:style w:type="paragraph" w:styleId="NoSpacing">
    <w:name w:val="No Spacing"/>
    <w:uiPriority w:val="1"/>
    <w:qFormat/>
    <w:rsid w:val="0044270B"/>
    <w:pPr>
      <w:spacing w:after="0" w:line="240" w:lineRule="auto"/>
    </w:pPr>
  </w:style>
  <w:style w:type="paragraph" w:customStyle="1" w:styleId="Default">
    <w:name w:val="Default"/>
    <w:rsid w:val="00F1773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477CA9"/>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337782"/>
    <w:pPr>
      <w:spacing w:after="0" w:line="240" w:lineRule="auto"/>
    </w:pPr>
  </w:style>
  <w:style w:type="paragraph" w:styleId="Header">
    <w:name w:val="header"/>
    <w:basedOn w:val="Normal"/>
    <w:link w:val="HeaderChar"/>
    <w:uiPriority w:val="99"/>
    <w:unhideWhenUsed/>
    <w:rsid w:val="00CC0E48"/>
    <w:pPr>
      <w:tabs>
        <w:tab w:val="center" w:pos="4513"/>
        <w:tab w:val="right" w:pos="9026"/>
      </w:tabs>
    </w:pPr>
  </w:style>
  <w:style w:type="character" w:customStyle="1" w:styleId="HeaderChar">
    <w:name w:val="Header Char"/>
    <w:basedOn w:val="DefaultParagraphFont"/>
    <w:link w:val="Header"/>
    <w:uiPriority w:val="99"/>
    <w:rsid w:val="00CC0E48"/>
  </w:style>
  <w:style w:type="paragraph" w:styleId="Footer">
    <w:name w:val="footer"/>
    <w:basedOn w:val="Normal"/>
    <w:link w:val="FooterChar"/>
    <w:uiPriority w:val="99"/>
    <w:unhideWhenUsed/>
    <w:rsid w:val="00CC0E48"/>
    <w:pPr>
      <w:tabs>
        <w:tab w:val="center" w:pos="4513"/>
        <w:tab w:val="right" w:pos="9026"/>
      </w:tabs>
    </w:pPr>
  </w:style>
  <w:style w:type="character" w:customStyle="1" w:styleId="FooterChar">
    <w:name w:val="Footer Char"/>
    <w:basedOn w:val="DefaultParagraphFont"/>
    <w:link w:val="Footer"/>
    <w:uiPriority w:val="99"/>
    <w:rsid w:val="00CC0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2282">
      <w:bodyDiv w:val="1"/>
      <w:marLeft w:val="0"/>
      <w:marRight w:val="0"/>
      <w:marTop w:val="0"/>
      <w:marBottom w:val="0"/>
      <w:divBdr>
        <w:top w:val="none" w:sz="0" w:space="0" w:color="auto"/>
        <w:left w:val="none" w:sz="0" w:space="0" w:color="auto"/>
        <w:bottom w:val="none" w:sz="0" w:space="0" w:color="auto"/>
        <w:right w:val="none" w:sz="0" w:space="0" w:color="auto"/>
      </w:divBdr>
    </w:div>
    <w:div w:id="194269977">
      <w:bodyDiv w:val="1"/>
      <w:marLeft w:val="0"/>
      <w:marRight w:val="0"/>
      <w:marTop w:val="0"/>
      <w:marBottom w:val="0"/>
      <w:divBdr>
        <w:top w:val="none" w:sz="0" w:space="0" w:color="auto"/>
        <w:left w:val="none" w:sz="0" w:space="0" w:color="auto"/>
        <w:bottom w:val="none" w:sz="0" w:space="0" w:color="auto"/>
        <w:right w:val="none" w:sz="0" w:space="0" w:color="auto"/>
      </w:divBdr>
    </w:div>
    <w:div w:id="654992053">
      <w:bodyDiv w:val="1"/>
      <w:marLeft w:val="0"/>
      <w:marRight w:val="0"/>
      <w:marTop w:val="0"/>
      <w:marBottom w:val="0"/>
      <w:divBdr>
        <w:top w:val="none" w:sz="0" w:space="0" w:color="auto"/>
        <w:left w:val="none" w:sz="0" w:space="0" w:color="auto"/>
        <w:bottom w:val="none" w:sz="0" w:space="0" w:color="auto"/>
        <w:right w:val="none" w:sz="0" w:space="0" w:color="auto"/>
      </w:divBdr>
    </w:div>
    <w:div w:id="894196308">
      <w:bodyDiv w:val="1"/>
      <w:marLeft w:val="0"/>
      <w:marRight w:val="0"/>
      <w:marTop w:val="0"/>
      <w:marBottom w:val="0"/>
      <w:divBdr>
        <w:top w:val="none" w:sz="0" w:space="0" w:color="auto"/>
        <w:left w:val="none" w:sz="0" w:space="0" w:color="auto"/>
        <w:bottom w:val="none" w:sz="0" w:space="0" w:color="auto"/>
        <w:right w:val="none" w:sz="0" w:space="0" w:color="auto"/>
      </w:divBdr>
    </w:div>
    <w:div w:id="941228187">
      <w:bodyDiv w:val="1"/>
      <w:marLeft w:val="0"/>
      <w:marRight w:val="0"/>
      <w:marTop w:val="0"/>
      <w:marBottom w:val="0"/>
      <w:divBdr>
        <w:top w:val="none" w:sz="0" w:space="0" w:color="auto"/>
        <w:left w:val="none" w:sz="0" w:space="0" w:color="auto"/>
        <w:bottom w:val="none" w:sz="0" w:space="0" w:color="auto"/>
        <w:right w:val="none" w:sz="0" w:space="0" w:color="auto"/>
      </w:divBdr>
    </w:div>
    <w:div w:id="95645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Trott</dc:creator>
  <cp:lastModifiedBy>Anna Chambers</cp:lastModifiedBy>
  <cp:revision>9</cp:revision>
  <cp:lastPrinted>2022-06-27T10:43:00Z</cp:lastPrinted>
  <dcterms:created xsi:type="dcterms:W3CDTF">2022-06-28T20:49:00Z</dcterms:created>
  <dcterms:modified xsi:type="dcterms:W3CDTF">2022-06-29T13:43:00Z</dcterms:modified>
</cp:coreProperties>
</file>